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D43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9B3C54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0A4CC6D">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03.080.30</w:t>
            </w:r>
          </w:p>
        </w:tc>
      </w:tr>
      <w:tr w14:paraId="4E37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905611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DA689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E6BA660">
                  <w:pPr>
                    <w:pStyle w:val="51"/>
                    <w:framePr w:wrap="notBeside" w:vAnchor="page" w:hAnchor="page" w:x="1372" w:y="568"/>
                    <w:ind w:left="420" w:right="624"/>
                    <w:rPr>
                      <w:rFonts w:hint="eastAsia" w:ascii="宋体" w:hAnsi="宋体"/>
                      <w:sz w:val="28"/>
                      <w:szCs w:val="28"/>
                      <w:highlight w:val="none"/>
                    </w:rPr>
                  </w:pPr>
                  <w:r>
                    <w:rPr>
                      <w:sz w:val="21"/>
                      <w:szCs w:val="21"/>
                      <w:highlight w:val="none"/>
                    </w:rPr>
                    <w:t xml:space="preserve"> </w:t>
                  </w:r>
                </w:p>
              </w:tc>
            </w:tr>
          </w:tbl>
          <w:p w14:paraId="1FEC7AFF">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highlight w:val="none"/>
                <w:lang w:val="en-US" w:eastAsia="zh-CN"/>
              </w:rPr>
            </w:pPr>
            <w:r>
              <w:rPr>
                <w:rFonts w:hint="eastAsia" w:ascii="黑体" w:hAnsi="黑体" w:eastAsia="黑体"/>
                <w:sz w:val="21"/>
                <w:szCs w:val="21"/>
                <w:highlight w:val="none"/>
                <w:lang w:val="en-US" w:eastAsia="zh-CN"/>
              </w:rPr>
              <w:t>A 16</w:t>
            </w:r>
          </w:p>
        </w:tc>
      </w:tr>
    </w:tbl>
    <w:p w14:paraId="3D035CEB">
      <w:pPr>
        <w:pStyle w:val="52"/>
        <w:framePr w:w="9639" w:h="908" w:hRule="exact" w:hSpace="181" w:vSpace="181" w:wrap="around" w:hAnchor="page" w:x="1305" w:y="2269"/>
        <w:rPr>
          <w:rFonts w:hint="eastAsia" w:ascii="黑体" w:hAnsi="黑体" w:eastAsia="黑体"/>
          <w:b w:val="0"/>
          <w:bCs w:val="0"/>
          <w:w w:val="100"/>
          <w:sz w:val="72"/>
          <w:szCs w:val="72"/>
        </w:rPr>
      </w:pPr>
      <w:bookmarkStart w:id="0"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0"/>
    <w:p w14:paraId="45106635">
      <w:pPr>
        <w:pStyle w:val="197"/>
      </w:pPr>
      <w:r>
        <w:t>T/</w:t>
      </w:r>
      <w:r>
        <w:rPr>
          <w:rFonts w:hint="eastAsia"/>
        </w:rPr>
        <w:t>CPMI</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212DD9FF">
      <w:pPr>
        <w:pStyle w:val="198"/>
        <w:rPr>
          <w:rFonts w:hint="eastAsia"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7710BDD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84FAF68">
      <w:pPr>
        <w:pStyle w:val="52"/>
        <w:framePr w:w="9639" w:h="6976" w:hRule="exact" w:hSpace="0" w:vSpace="0" w:wrap="around" w:hAnchor="page" w:y="6408"/>
        <w:jc w:val="center"/>
        <w:rPr>
          <w:rFonts w:hint="eastAsia" w:ascii="黑体" w:hAnsi="黑体" w:eastAsia="黑体"/>
          <w:b w:val="0"/>
          <w:bCs w:val="0"/>
          <w:w w:val="100"/>
        </w:rPr>
      </w:pPr>
    </w:p>
    <w:p w14:paraId="0408FB95">
      <w:pPr>
        <w:pStyle w:val="19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rPr>
          <w:rFonts w:hint="eastAsia"/>
        </w:rPr>
        <w:t>医院物业 陪护服务规范</w:t>
      </w:r>
      <w:r>
        <w:fldChar w:fldCharType="end"/>
      </w:r>
      <w:bookmarkEnd w:id="4"/>
    </w:p>
    <w:p w14:paraId="67A82B97">
      <w:pPr>
        <w:framePr w:w="9639" w:h="6974" w:hRule="exact" w:wrap="around" w:vAnchor="page" w:hAnchor="page" w:x="1419" w:y="6408" w:anchorLock="1"/>
        <w:ind w:left="-1418"/>
      </w:pPr>
    </w:p>
    <w:p w14:paraId="399D1CFE">
      <w:pPr>
        <w:pStyle w:val="127"/>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hint="eastAsia" w:eastAsia="黑体"/>
          <w:szCs w:val="28"/>
        </w:rPr>
        <w:t>Hospital property—sp</w:t>
      </w:r>
      <w:r>
        <w:rPr>
          <w:rFonts w:hint="eastAsia" w:eastAsia="黑体"/>
          <w:szCs w:val="28"/>
          <w:lang w:val="en-US" w:eastAsia="zh-CN"/>
        </w:rPr>
        <w:t>e</w:t>
      </w:r>
      <w:r>
        <w:rPr>
          <w:rFonts w:hint="eastAsia" w:eastAsia="黑体"/>
          <w:szCs w:val="28"/>
        </w:rPr>
        <w:t xml:space="preserve">cification </w:t>
      </w:r>
      <w:r>
        <w:rPr>
          <w:rFonts w:hint="eastAsia" w:eastAsia="黑体"/>
          <w:szCs w:val="28"/>
          <w:lang w:val="en-US" w:eastAsia="zh-CN"/>
        </w:rPr>
        <w:t>of</w:t>
      </w:r>
      <w:r>
        <w:rPr>
          <w:rFonts w:hint="eastAsia" w:eastAsia="黑体"/>
          <w:szCs w:val="28"/>
        </w:rPr>
        <w:t xml:space="preserve"> escort service</w:t>
      </w:r>
      <w:r>
        <w:rPr>
          <w:rFonts w:eastAsia="黑体"/>
          <w:szCs w:val="28"/>
        </w:rPr>
        <w:fldChar w:fldCharType="end"/>
      </w:r>
      <w:bookmarkEnd w:id="5"/>
    </w:p>
    <w:p w14:paraId="5B6E0DA5">
      <w:pPr>
        <w:framePr w:w="9639" w:h="6974" w:hRule="exact" w:wrap="around" w:vAnchor="page" w:hAnchor="page" w:x="1419" w:y="6408" w:anchorLock="1"/>
        <w:spacing w:line="760" w:lineRule="exact"/>
        <w:ind w:left="-1418"/>
      </w:pPr>
    </w:p>
    <w:p w14:paraId="280E56D3">
      <w:pPr>
        <w:pStyle w:val="127"/>
        <w:framePr w:w="9639" w:h="6974" w:hRule="exact" w:wrap="around" w:vAnchor="page" w:hAnchor="page" w:x="1419" w:y="6408" w:anchorLock="1"/>
        <w:textAlignment w:val="bottom"/>
        <w:rPr>
          <w:rFonts w:eastAsia="黑体"/>
          <w:szCs w:val="28"/>
        </w:rPr>
      </w:pPr>
    </w:p>
    <w:p w14:paraId="49259500">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6" w:name="下拉1"/>
      <w:r>
        <w:rPr>
          <w:sz w:val="24"/>
          <w:szCs w:val="28"/>
        </w:rPr>
        <w:instrText xml:space="preserve"> FORMDROPDOWN </w:instrText>
      </w:r>
      <w:r>
        <w:rPr>
          <w:sz w:val="24"/>
          <w:szCs w:val="28"/>
        </w:rPr>
        <w:fldChar w:fldCharType="separate"/>
      </w:r>
      <w:r>
        <w:rPr>
          <w:sz w:val="24"/>
          <w:szCs w:val="28"/>
        </w:rPr>
        <w:fldChar w:fldCharType="end"/>
      </w:r>
      <w:bookmarkEnd w:id="6"/>
    </w:p>
    <w:p w14:paraId="41D1EB41">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14:paraId="2D3AF6AE">
      <w:pPr>
        <w:pStyle w:val="127"/>
        <w:framePr w:w="9639" w:h="6974" w:hRule="exact" w:wrap="around" w:vAnchor="page" w:hAnchor="page" w:x="1419" w:y="6408" w:anchorLock="1"/>
        <w:spacing w:before="720" w:beforeLines="300" w:after="72" w:afterLines="30" w:line="240" w:lineRule="auto"/>
        <w:textAlignment w:val="bottom"/>
        <w:rPr>
          <w:b/>
          <w:sz w:val="21"/>
          <w:szCs w:val="28"/>
        </w:rPr>
      </w:pPr>
      <w:bookmarkStart w:id="121" w:name="_GoBack"/>
      <w:bookmarkEnd w:id="121"/>
      <w:bookmarkStart w:id="8"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FORMDROPDOWN</w:instrText>
      </w:r>
      <w:r>
        <w:rPr>
          <w:b/>
          <w:sz w:val="21"/>
          <w:szCs w:val="28"/>
        </w:rPr>
        <w:fldChar w:fldCharType="separate"/>
      </w:r>
      <w:r>
        <w:rPr>
          <w:b/>
          <w:sz w:val="21"/>
          <w:szCs w:val="28"/>
        </w:rPr>
        <w:fldChar w:fldCharType="end"/>
      </w:r>
      <w:bookmarkEnd w:id="8"/>
    </w:p>
    <w:p w14:paraId="4A16316D">
      <w:pPr>
        <w:pStyle w:val="195"/>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072EFA0">
      <w:pPr>
        <w:pStyle w:val="196"/>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645F9C79">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5"/>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4302B58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F135653">
      <w:pPr>
        <w:pStyle w:val="93"/>
        <w:spacing w:after="360"/>
      </w:pPr>
      <w:bookmarkStart w:id="16" w:name="BookMark1"/>
      <w:r>
        <w:rPr>
          <w:rFonts w:hint="eastAsia"/>
          <w:spacing w:val="320"/>
        </w:rPr>
        <w:t>目</w:t>
      </w:r>
      <w:r>
        <w:rPr>
          <w:rFonts w:hint="eastAsia"/>
        </w:rPr>
        <w:t>次</w:t>
      </w:r>
    </w:p>
    <w:p w14:paraId="6897360A">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"_Toc211527022"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_Toc211527022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C01053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"_Toc211527023"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_Toc211527023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E30B6F7">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"_Toc211527024"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_Toc211527024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E7E1DE">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"_Toc211527025"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_Toc211527025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3D0EE1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"_Toc211527026" </w:instrText>
      </w:r>
      <w:r>
        <w:fldChar w:fldCharType="separate"/>
      </w:r>
      <w:r>
        <w:rPr>
          <w:rStyle w:val="33"/>
          <w:rFonts w:hint="eastAsia"/>
        </w:rPr>
        <w:t>4</w:t>
      </w:r>
      <w:r>
        <w:rPr>
          <w:rStyle w:val="33"/>
        </w:rPr>
        <w:t xml:space="preserve"> </w:t>
      </w:r>
      <w:r>
        <w:rPr>
          <w:rStyle w:val="33"/>
          <w:rFonts w:hint="eastAsia"/>
        </w:rPr>
        <w:t xml:space="preserve"> 管理要求</w:t>
      </w:r>
      <w:r>
        <w:rPr>
          <w:rFonts w:hint="eastAsia"/>
        </w:rPr>
        <w:tab/>
      </w:r>
      <w:r>
        <w:rPr>
          <w:rFonts w:hint="eastAsia"/>
        </w:rPr>
        <w:fldChar w:fldCharType="begin"/>
      </w:r>
      <w:r>
        <w:rPr>
          <w:rFonts w:hint="eastAsia"/>
        </w:rPr>
        <w:instrText xml:space="preserve"> </w:instrText>
      </w:r>
      <w:r>
        <w:instrText xml:space="preserve">PAGEREF _Toc211527026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149FC0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"_Toc211527027" </w:instrText>
      </w:r>
      <w:r>
        <w:fldChar w:fldCharType="separate"/>
      </w:r>
      <w:r>
        <w:rPr>
          <w:rStyle w:val="33"/>
          <w:rFonts w:hint="eastAsia"/>
          <w14:scene3d>
            <w14:lightRig w14:rig="threePt" w14:dir="t">
              <w14:rot w14:lat="0" w14:lon="0" w14:rev="0"/>
            </w14:lightRig>
          </w14:scene3d>
        </w:rPr>
        <w:t>4.1</w:t>
      </w:r>
      <w:r>
        <w:rPr>
          <w:rStyle w:val="33"/>
          <w14:scene3d>
            <w14:lightRig w14:rig="threePt" w14:dir="t">
              <w14:rot w14:lat="0" w14:lon="0" w14:rev="0"/>
            </w14:lightRig>
          </w14:scene3d>
        </w:rPr>
        <w:t xml:space="preserve"> </w:t>
      </w:r>
      <w:r>
        <w:rPr>
          <w:rStyle w:val="33"/>
          <w:rFonts w:hint="eastAsia"/>
        </w:rPr>
        <w:t xml:space="preserve"> 机构</w:t>
      </w:r>
      <w:r>
        <w:rPr>
          <w:rFonts w:hint="eastAsia"/>
        </w:rPr>
        <w:tab/>
      </w:r>
      <w:r>
        <w:rPr>
          <w:rFonts w:hint="eastAsia"/>
        </w:rPr>
        <w:fldChar w:fldCharType="begin"/>
      </w:r>
      <w:r>
        <w:rPr>
          <w:rFonts w:hint="eastAsia"/>
        </w:rPr>
        <w:instrText xml:space="preserve"> </w:instrText>
      </w:r>
      <w:r>
        <w:instrText xml:space="preserve">PAGEREF _Toc211527027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55BFE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"_Toc211527028" </w:instrText>
      </w:r>
      <w:r>
        <w:fldChar w:fldCharType="separate"/>
      </w:r>
      <w:r>
        <w:rPr>
          <w:rStyle w:val="33"/>
          <w:rFonts w:hint="eastAsia"/>
          <w14:scene3d>
            <w14:lightRig w14:rig="threePt" w14:dir="t">
              <w14:rot w14:lat="0" w14:lon="0" w14:rev="0"/>
            </w14:lightRig>
          </w14:scene3d>
        </w:rPr>
        <w:t>4.2</w:t>
      </w:r>
      <w:r>
        <w:rPr>
          <w:rStyle w:val="33"/>
          <w14:scene3d>
            <w14:lightRig w14:rig="threePt" w14:dir="t">
              <w14:rot w14:lat="0" w14:lon="0" w14:rev="0"/>
            </w14:lightRig>
          </w14:scene3d>
        </w:rPr>
        <w:t xml:space="preserve"> </w:t>
      </w:r>
      <w:r>
        <w:rPr>
          <w:rStyle w:val="33"/>
          <w:rFonts w:hint="eastAsia"/>
        </w:rPr>
        <w:t xml:space="preserve"> 人员</w:t>
      </w:r>
      <w:r>
        <w:rPr>
          <w:rFonts w:hint="eastAsia"/>
        </w:rPr>
        <w:tab/>
      </w:r>
      <w:r>
        <w:rPr>
          <w:rFonts w:hint="eastAsia"/>
        </w:rPr>
        <w:fldChar w:fldCharType="begin"/>
      </w:r>
      <w:r>
        <w:rPr>
          <w:rFonts w:hint="eastAsia"/>
        </w:rPr>
        <w:instrText xml:space="preserve"> </w:instrText>
      </w:r>
      <w:r>
        <w:instrText xml:space="preserve">PAGEREF _Toc211527028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AAFDF55">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"_Toc211527029" </w:instrText>
      </w:r>
      <w:r>
        <w:fldChar w:fldCharType="separate"/>
      </w:r>
      <w:r>
        <w:rPr>
          <w:rStyle w:val="33"/>
          <w:rFonts w:hint="eastAsia"/>
          <w14:scene3d>
            <w14:lightRig w14:rig="threePt" w14:dir="t">
              <w14:rot w14:lat="0" w14:lon="0" w14:rev="0"/>
            </w14:lightRig>
          </w14:scene3d>
        </w:rPr>
        <w:t>4.3</w:t>
      </w:r>
      <w:r>
        <w:rPr>
          <w:rStyle w:val="33"/>
          <w14:scene3d>
            <w14:lightRig w14:rig="threePt" w14:dir="t">
              <w14:rot w14:lat="0" w14:lon="0" w14:rev="0"/>
            </w14:lightRig>
          </w14:scene3d>
        </w:rPr>
        <w:t xml:space="preserve"> </w:t>
      </w:r>
      <w:r>
        <w:rPr>
          <w:rStyle w:val="33"/>
          <w:rFonts w:hint="eastAsia"/>
        </w:rPr>
        <w:t xml:space="preserve"> 感染预防与控制</w:t>
      </w:r>
      <w:r>
        <w:rPr>
          <w:rFonts w:hint="eastAsia"/>
        </w:rPr>
        <w:tab/>
      </w:r>
      <w:r>
        <w:rPr>
          <w:rFonts w:hint="eastAsia"/>
        </w:rPr>
        <w:fldChar w:fldCharType="begin"/>
      </w:r>
      <w:r>
        <w:rPr>
          <w:rFonts w:hint="eastAsia"/>
        </w:rPr>
        <w:instrText xml:space="preserve"> </w:instrText>
      </w:r>
      <w:r>
        <w:instrText xml:space="preserve">PAGEREF _Toc211527029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8176E4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"_Toc211527030" </w:instrText>
      </w:r>
      <w:r>
        <w:fldChar w:fldCharType="separate"/>
      </w:r>
      <w:r>
        <w:rPr>
          <w:rStyle w:val="33"/>
          <w:rFonts w:hint="eastAsia"/>
          <w14:scene3d>
            <w14:lightRig w14:rig="threePt" w14:dir="t">
              <w14:rot w14:lat="0" w14:lon="0" w14:rev="0"/>
            </w14:lightRig>
          </w14:scene3d>
        </w:rPr>
        <w:t>4.4</w:t>
      </w:r>
      <w:r>
        <w:rPr>
          <w:rStyle w:val="33"/>
          <w14:scene3d>
            <w14:lightRig w14:rig="threePt" w14:dir="t">
              <w14:rot w14:lat="0" w14:lon="0" w14:rev="0"/>
            </w14:lightRig>
          </w14:scene3d>
        </w:rPr>
        <w:t xml:space="preserve"> </w:t>
      </w:r>
      <w:r>
        <w:rPr>
          <w:rStyle w:val="33"/>
          <w:rFonts w:hint="eastAsia"/>
        </w:rPr>
        <w:t xml:space="preserve"> 档案记录</w:t>
      </w:r>
      <w:r>
        <w:rPr>
          <w:rFonts w:hint="eastAsia"/>
        </w:rPr>
        <w:tab/>
      </w:r>
      <w:r>
        <w:rPr>
          <w:rFonts w:hint="eastAsia"/>
        </w:rPr>
        <w:fldChar w:fldCharType="begin"/>
      </w:r>
      <w:r>
        <w:rPr>
          <w:rFonts w:hint="eastAsia"/>
        </w:rPr>
        <w:instrText xml:space="preserve"> </w:instrText>
      </w:r>
      <w:r>
        <w:instrText xml:space="preserve">PAGEREF _Toc211527030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5EDC486">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"_Toc211527031" </w:instrText>
      </w:r>
      <w:r>
        <w:fldChar w:fldCharType="separate"/>
      </w:r>
      <w:r>
        <w:rPr>
          <w:rStyle w:val="33"/>
          <w:rFonts w:hint="eastAsia"/>
        </w:rPr>
        <w:t>5</w:t>
      </w:r>
      <w:r>
        <w:rPr>
          <w:rStyle w:val="33"/>
        </w:rPr>
        <w:t xml:space="preserve"> </w:t>
      </w:r>
      <w:r>
        <w:rPr>
          <w:rStyle w:val="33"/>
          <w:rFonts w:hint="eastAsia"/>
        </w:rPr>
        <w:t xml:space="preserve"> 服务分级与人员配置</w:t>
      </w:r>
      <w:r>
        <w:rPr>
          <w:rFonts w:hint="eastAsia"/>
        </w:rPr>
        <w:tab/>
      </w:r>
      <w:r>
        <w:rPr>
          <w:rFonts w:hint="eastAsia"/>
        </w:rPr>
        <w:fldChar w:fldCharType="begin"/>
      </w:r>
      <w:r>
        <w:rPr>
          <w:rFonts w:hint="eastAsia"/>
        </w:rPr>
        <w:instrText xml:space="preserve"> </w:instrText>
      </w:r>
      <w:r>
        <w:instrText xml:space="preserve">PAGEREF _Toc211527031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D992DC1">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"_Toc211527032" </w:instrText>
      </w:r>
      <w:r>
        <w:fldChar w:fldCharType="separate"/>
      </w:r>
      <w:r>
        <w:rPr>
          <w:rStyle w:val="33"/>
          <w:rFonts w:hint="eastAsia"/>
        </w:rPr>
        <w:t>6</w:t>
      </w:r>
      <w:r>
        <w:rPr>
          <w:rStyle w:val="33"/>
        </w:rPr>
        <w:t xml:space="preserve"> </w:t>
      </w:r>
      <w:r>
        <w:rPr>
          <w:rStyle w:val="33"/>
          <w:rFonts w:hint="eastAsia"/>
        </w:rPr>
        <w:t xml:space="preserve"> 服务要求</w:t>
      </w:r>
      <w:r>
        <w:rPr>
          <w:rFonts w:hint="eastAsia"/>
        </w:rPr>
        <w:tab/>
      </w:r>
      <w:r>
        <w:rPr>
          <w:rFonts w:hint="eastAsia"/>
        </w:rPr>
        <w:fldChar w:fldCharType="begin"/>
      </w:r>
      <w:r>
        <w:rPr>
          <w:rFonts w:hint="eastAsia"/>
        </w:rPr>
        <w:instrText xml:space="preserve"> </w:instrText>
      </w:r>
      <w:r>
        <w:instrText xml:space="preserve">PAGEREF _Toc211527032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87D469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"_Toc211527033" </w:instrText>
      </w:r>
      <w:r>
        <w:fldChar w:fldCharType="separate"/>
      </w:r>
      <w:r>
        <w:rPr>
          <w:rStyle w:val="33"/>
          <w:rFonts w:hint="eastAsia"/>
          <w14:scene3d>
            <w14:lightRig w14:rig="threePt" w14:dir="t">
              <w14:rot w14:lat="0" w14:lon="0" w14:rev="0"/>
            </w14:lightRig>
          </w14:scene3d>
        </w:rPr>
        <w:t>6.1</w:t>
      </w:r>
      <w:r>
        <w:rPr>
          <w:rStyle w:val="33"/>
          <w14:scene3d>
            <w14:lightRig w14:rig="threePt" w14:dir="t">
              <w14:rot w14:lat="0" w14:lon="0" w14:rev="0"/>
            </w14:lightRig>
          </w14:scene3d>
        </w:rPr>
        <w:t xml:space="preserve"> </w:t>
      </w:r>
      <w:r>
        <w:rPr>
          <w:rStyle w:val="33"/>
          <w:rFonts w:hint="eastAsia"/>
        </w:rPr>
        <w:t xml:space="preserve"> 生活照护</w:t>
      </w:r>
      <w:r>
        <w:rPr>
          <w:rFonts w:hint="eastAsia"/>
        </w:rPr>
        <w:tab/>
      </w:r>
      <w:r>
        <w:rPr>
          <w:rFonts w:hint="eastAsia"/>
        </w:rPr>
        <w:fldChar w:fldCharType="begin"/>
      </w:r>
      <w:r>
        <w:rPr>
          <w:rFonts w:hint="eastAsia"/>
        </w:rPr>
        <w:instrText xml:space="preserve"> </w:instrText>
      </w:r>
      <w:r>
        <w:instrText xml:space="preserve">PAGEREF _Toc211527033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909E3E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"_Toc211527034" </w:instrText>
      </w:r>
      <w:r>
        <w:fldChar w:fldCharType="separate"/>
      </w:r>
      <w:r>
        <w:rPr>
          <w:rStyle w:val="33"/>
          <w:rFonts w:hint="eastAsia"/>
          <w14:scene3d>
            <w14:lightRig w14:rig="threePt" w14:dir="t">
              <w14:rot w14:lat="0" w14:lon="0" w14:rev="0"/>
            </w14:lightRig>
          </w14:scene3d>
        </w:rPr>
        <w:t>6.2</w:t>
      </w:r>
      <w:r>
        <w:rPr>
          <w:rStyle w:val="33"/>
          <w14:scene3d>
            <w14:lightRig w14:rig="threePt" w14:dir="t">
              <w14:rot w14:lat="0" w14:lon="0" w14:rev="0"/>
            </w14:lightRig>
          </w14:scene3d>
        </w:rPr>
        <w:t xml:space="preserve"> </w:t>
      </w:r>
      <w:r>
        <w:rPr>
          <w:rStyle w:val="33"/>
          <w:rFonts w:hint="eastAsia"/>
        </w:rPr>
        <w:t xml:space="preserve"> 基本照护</w:t>
      </w:r>
      <w:r>
        <w:rPr>
          <w:rFonts w:hint="eastAsia"/>
        </w:rPr>
        <w:tab/>
      </w:r>
      <w:r>
        <w:rPr>
          <w:rFonts w:hint="eastAsia"/>
        </w:rPr>
        <w:fldChar w:fldCharType="begin"/>
      </w:r>
      <w:r>
        <w:rPr>
          <w:rFonts w:hint="eastAsia"/>
        </w:rPr>
        <w:instrText xml:space="preserve"> </w:instrText>
      </w:r>
      <w:r>
        <w:instrText xml:space="preserve">PAGEREF _Toc211527034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B78CE9D">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"_Toc211527035" </w:instrText>
      </w:r>
      <w:r>
        <w:fldChar w:fldCharType="separate"/>
      </w:r>
      <w:r>
        <w:rPr>
          <w:rStyle w:val="33"/>
          <w:rFonts w:hint="eastAsia"/>
          <w14:scene3d>
            <w14:lightRig w14:rig="threePt" w14:dir="t">
              <w14:rot w14:lat="0" w14:lon="0" w14:rev="0"/>
            </w14:lightRig>
          </w14:scene3d>
        </w:rPr>
        <w:t>6.3</w:t>
      </w:r>
      <w:r>
        <w:rPr>
          <w:rStyle w:val="33"/>
          <w14:scene3d>
            <w14:lightRig w14:rig="threePt" w14:dir="t">
              <w14:rot w14:lat="0" w14:lon="0" w14:rev="0"/>
            </w14:lightRig>
          </w14:scene3d>
        </w:rPr>
        <w:t xml:space="preserve"> </w:t>
      </w:r>
      <w:r>
        <w:rPr>
          <w:rStyle w:val="33"/>
          <w:rFonts w:hint="eastAsia"/>
        </w:rPr>
        <w:t xml:space="preserve"> 临床照护</w:t>
      </w:r>
      <w:r>
        <w:rPr>
          <w:rFonts w:hint="eastAsia"/>
        </w:rPr>
        <w:tab/>
      </w:r>
      <w:r>
        <w:rPr>
          <w:rFonts w:hint="eastAsia"/>
        </w:rPr>
        <w:fldChar w:fldCharType="begin"/>
      </w:r>
      <w:r>
        <w:rPr>
          <w:rFonts w:hint="eastAsia"/>
        </w:rPr>
        <w:instrText xml:space="preserve"> </w:instrText>
      </w:r>
      <w:r>
        <w:instrText xml:space="preserve">PAGEREF _Toc211527035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49B31A2">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"_Toc211527036" </w:instrText>
      </w:r>
      <w:r>
        <w:fldChar w:fldCharType="separate"/>
      </w:r>
      <w:r>
        <w:rPr>
          <w:rStyle w:val="33"/>
          <w:rFonts w:hint="eastAsia"/>
          <w14:scene3d>
            <w14:lightRig w14:rig="threePt" w14:dir="t">
              <w14:rot w14:lat="0" w14:lon="0" w14:rev="0"/>
            </w14:lightRig>
          </w14:scene3d>
        </w:rPr>
        <w:t>6.4</w:t>
      </w:r>
      <w:r>
        <w:rPr>
          <w:rStyle w:val="33"/>
          <w14:scene3d>
            <w14:lightRig w14:rig="threePt" w14:dir="t">
              <w14:rot w14:lat="0" w14:lon="0" w14:rev="0"/>
            </w14:lightRig>
          </w14:scene3d>
        </w:rPr>
        <w:t xml:space="preserve"> </w:t>
      </w:r>
      <w:r>
        <w:rPr>
          <w:rStyle w:val="33"/>
          <w:rFonts w:hint="eastAsia"/>
        </w:rPr>
        <w:t xml:space="preserve"> 心理支持</w:t>
      </w:r>
      <w:r>
        <w:rPr>
          <w:rFonts w:hint="eastAsia"/>
        </w:rPr>
        <w:tab/>
      </w:r>
      <w:r>
        <w:rPr>
          <w:rFonts w:hint="eastAsia"/>
        </w:rPr>
        <w:fldChar w:fldCharType="begin"/>
      </w:r>
      <w:r>
        <w:rPr>
          <w:rFonts w:hint="eastAsia"/>
        </w:rPr>
        <w:instrText xml:space="preserve"> </w:instrText>
      </w:r>
      <w:r>
        <w:instrText xml:space="preserve">PAGEREF _Toc211527036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CBCA1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"_Toc211527037" </w:instrText>
      </w:r>
      <w:r>
        <w:fldChar w:fldCharType="separate"/>
      </w:r>
      <w:r>
        <w:rPr>
          <w:rStyle w:val="33"/>
          <w:rFonts w:hint="eastAsia"/>
        </w:rPr>
        <w:t>7</w:t>
      </w:r>
      <w:r>
        <w:rPr>
          <w:rStyle w:val="33"/>
        </w:rPr>
        <w:t xml:space="preserve"> </w:t>
      </w:r>
      <w:r>
        <w:rPr>
          <w:rStyle w:val="33"/>
          <w:rFonts w:hint="eastAsia"/>
        </w:rPr>
        <w:t xml:space="preserve"> 服务流程</w:t>
      </w:r>
      <w:r>
        <w:rPr>
          <w:rFonts w:hint="eastAsia"/>
        </w:rPr>
        <w:tab/>
      </w:r>
      <w:r>
        <w:rPr>
          <w:rFonts w:hint="eastAsia"/>
        </w:rPr>
        <w:fldChar w:fldCharType="begin"/>
      </w:r>
      <w:r>
        <w:rPr>
          <w:rFonts w:hint="eastAsia"/>
        </w:rPr>
        <w:instrText xml:space="preserve"> </w:instrText>
      </w:r>
      <w:r>
        <w:instrText xml:space="preserve">PAGEREF _Toc211527037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55150E67">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"_Toc211527038" </w:instrText>
      </w:r>
      <w:r>
        <w:fldChar w:fldCharType="separate"/>
      </w:r>
      <w:r>
        <w:rPr>
          <w:rStyle w:val="33"/>
          <w:rFonts w:hint="eastAsia"/>
          <w14:scene3d>
            <w14:lightRig w14:rig="threePt" w14:dir="t">
              <w14:rot w14:lat="0" w14:lon="0" w14:rev="0"/>
            </w14:lightRig>
          </w14:scene3d>
        </w:rPr>
        <w:t>7.1</w:t>
      </w:r>
      <w:r>
        <w:rPr>
          <w:rStyle w:val="33"/>
          <w14:scene3d>
            <w14:lightRig w14:rig="threePt" w14:dir="t">
              <w14:rot w14:lat="0" w14:lon="0" w14:rev="0"/>
            </w14:lightRig>
          </w14:scene3d>
        </w:rPr>
        <w:t xml:space="preserve"> </w:t>
      </w:r>
      <w:r>
        <w:rPr>
          <w:rStyle w:val="33"/>
          <w:rFonts w:hint="eastAsia"/>
        </w:rPr>
        <w:t xml:space="preserve"> 咨询接待与评估</w:t>
      </w:r>
      <w:r>
        <w:rPr>
          <w:rFonts w:hint="eastAsia"/>
        </w:rPr>
        <w:tab/>
      </w:r>
      <w:r>
        <w:rPr>
          <w:rFonts w:hint="eastAsia"/>
        </w:rPr>
        <w:fldChar w:fldCharType="begin"/>
      </w:r>
      <w:r>
        <w:rPr>
          <w:rFonts w:hint="eastAsia"/>
        </w:rPr>
        <w:instrText xml:space="preserve"> </w:instrText>
      </w:r>
      <w:r>
        <w:instrText xml:space="preserve">PAGEREF _Toc211527038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3D65F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"_Toc211527039" </w:instrText>
      </w:r>
      <w:r>
        <w:fldChar w:fldCharType="separate"/>
      </w:r>
      <w:r>
        <w:rPr>
          <w:rStyle w:val="33"/>
          <w:rFonts w:hint="eastAsia"/>
          <w14:scene3d>
            <w14:lightRig w14:rig="threePt" w14:dir="t">
              <w14:rot w14:lat="0" w14:lon="0" w14:rev="0"/>
            </w14:lightRig>
          </w14:scene3d>
        </w:rPr>
        <w:t>7.2</w:t>
      </w:r>
      <w:r>
        <w:rPr>
          <w:rStyle w:val="33"/>
          <w14:scene3d>
            <w14:lightRig w14:rig="threePt" w14:dir="t">
              <w14:rot w14:lat="0" w14:lon="0" w14:rev="0"/>
            </w14:lightRig>
          </w14:scene3d>
        </w:rPr>
        <w:t xml:space="preserve"> </w:t>
      </w:r>
      <w:r>
        <w:rPr>
          <w:rStyle w:val="33"/>
          <w:rFonts w:hint="eastAsia"/>
        </w:rPr>
        <w:t xml:space="preserve"> 制定服务方案</w:t>
      </w:r>
      <w:r>
        <w:rPr>
          <w:rFonts w:hint="eastAsia"/>
        </w:rPr>
        <w:tab/>
      </w:r>
      <w:r>
        <w:rPr>
          <w:rFonts w:hint="eastAsia"/>
        </w:rPr>
        <w:fldChar w:fldCharType="begin"/>
      </w:r>
      <w:r>
        <w:rPr>
          <w:rFonts w:hint="eastAsia"/>
        </w:rPr>
        <w:instrText xml:space="preserve"> </w:instrText>
      </w:r>
      <w:r>
        <w:instrText xml:space="preserve">PAGEREF _Toc211527039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228379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"_Toc211527040" </w:instrText>
      </w:r>
      <w:r>
        <w:fldChar w:fldCharType="separate"/>
      </w:r>
      <w:r>
        <w:rPr>
          <w:rStyle w:val="33"/>
          <w:rFonts w:hint="eastAsia"/>
          <w14:scene3d>
            <w14:lightRig w14:rig="threePt" w14:dir="t">
              <w14:rot w14:lat="0" w14:lon="0" w14:rev="0"/>
            </w14:lightRig>
          </w14:scene3d>
        </w:rPr>
        <w:t>7.3</w:t>
      </w:r>
      <w:r>
        <w:rPr>
          <w:rStyle w:val="33"/>
          <w14:scene3d>
            <w14:lightRig w14:rig="threePt" w14:dir="t">
              <w14:rot w14:lat="0" w14:lon="0" w14:rev="0"/>
            </w14:lightRig>
          </w14:scene3d>
        </w:rPr>
        <w:t xml:space="preserve"> </w:t>
      </w:r>
      <w:r>
        <w:rPr>
          <w:rStyle w:val="33"/>
          <w:rFonts w:hint="eastAsia"/>
        </w:rPr>
        <w:t xml:space="preserve"> 签订合同</w:t>
      </w:r>
      <w:r>
        <w:rPr>
          <w:rFonts w:hint="eastAsia"/>
        </w:rPr>
        <w:tab/>
      </w:r>
      <w:r>
        <w:rPr>
          <w:rFonts w:hint="eastAsia"/>
        </w:rPr>
        <w:fldChar w:fldCharType="begin"/>
      </w:r>
      <w:r>
        <w:rPr>
          <w:rFonts w:hint="eastAsia"/>
        </w:rPr>
        <w:instrText xml:space="preserve"> </w:instrText>
      </w:r>
      <w:r>
        <w:instrText xml:space="preserve">PAGEREF _Toc211527040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BEA60D3">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"_Toc211527041" </w:instrText>
      </w:r>
      <w:r>
        <w:fldChar w:fldCharType="separate"/>
      </w:r>
      <w:r>
        <w:rPr>
          <w:rStyle w:val="33"/>
          <w:rFonts w:hint="eastAsia"/>
          <w14:scene3d>
            <w14:lightRig w14:rig="threePt" w14:dir="t">
              <w14:rot w14:lat="0" w14:lon="0" w14:rev="0"/>
            </w14:lightRig>
          </w14:scene3d>
        </w:rPr>
        <w:t>7.4</w:t>
      </w:r>
      <w:r>
        <w:rPr>
          <w:rStyle w:val="33"/>
          <w14:scene3d>
            <w14:lightRig w14:rig="threePt" w14:dir="t">
              <w14:rot w14:lat="0" w14:lon="0" w14:rev="0"/>
            </w14:lightRig>
          </w14:scene3d>
        </w:rPr>
        <w:t xml:space="preserve"> </w:t>
      </w:r>
      <w:r>
        <w:rPr>
          <w:rStyle w:val="33"/>
          <w:rFonts w:hint="eastAsia"/>
        </w:rPr>
        <w:t xml:space="preserve"> 匹配医疗护理员</w:t>
      </w:r>
      <w:r>
        <w:rPr>
          <w:rFonts w:hint="eastAsia"/>
        </w:rPr>
        <w:tab/>
      </w:r>
      <w:r>
        <w:rPr>
          <w:rFonts w:hint="eastAsia"/>
        </w:rPr>
        <w:fldChar w:fldCharType="begin"/>
      </w:r>
      <w:r>
        <w:rPr>
          <w:rFonts w:hint="eastAsia"/>
        </w:rPr>
        <w:instrText xml:space="preserve"> </w:instrText>
      </w:r>
      <w:r>
        <w:instrText xml:space="preserve">PAGEREF _Toc211527041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9912996">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"_Toc211527042" </w:instrText>
      </w:r>
      <w:r>
        <w:fldChar w:fldCharType="separate"/>
      </w:r>
      <w:r>
        <w:rPr>
          <w:rStyle w:val="33"/>
          <w:rFonts w:hint="eastAsia"/>
          <w14:scene3d>
            <w14:lightRig w14:rig="threePt" w14:dir="t">
              <w14:rot w14:lat="0" w14:lon="0" w14:rev="0"/>
            </w14:lightRig>
          </w14:scene3d>
        </w:rPr>
        <w:t>7.5</w:t>
      </w:r>
      <w:r>
        <w:rPr>
          <w:rStyle w:val="33"/>
          <w14:scene3d>
            <w14:lightRig w14:rig="threePt" w14:dir="t">
              <w14:rot w14:lat="0" w14:lon="0" w14:rev="0"/>
            </w14:lightRig>
          </w14:scene3d>
        </w:rPr>
        <w:t xml:space="preserve"> </w:t>
      </w:r>
      <w:r>
        <w:rPr>
          <w:rStyle w:val="33"/>
          <w:rFonts w:hint="eastAsia"/>
        </w:rPr>
        <w:t xml:space="preserve"> 实施服务</w:t>
      </w:r>
      <w:r>
        <w:rPr>
          <w:rFonts w:hint="eastAsia"/>
        </w:rPr>
        <w:tab/>
      </w:r>
      <w:r>
        <w:rPr>
          <w:rFonts w:hint="eastAsia"/>
        </w:rPr>
        <w:fldChar w:fldCharType="begin"/>
      </w:r>
      <w:r>
        <w:rPr>
          <w:rFonts w:hint="eastAsia"/>
        </w:rPr>
        <w:instrText xml:space="preserve"> </w:instrText>
      </w:r>
      <w:r>
        <w:instrText xml:space="preserve">PAGEREF _Toc211527042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0F53C6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"_Toc211527043" </w:instrText>
      </w:r>
      <w:r>
        <w:fldChar w:fldCharType="separate"/>
      </w:r>
      <w:r>
        <w:rPr>
          <w:rStyle w:val="33"/>
          <w:rFonts w:hint="eastAsia"/>
          <w14:scene3d>
            <w14:lightRig w14:rig="threePt" w14:dir="t">
              <w14:rot w14:lat="0" w14:lon="0" w14:rev="0"/>
            </w14:lightRig>
          </w14:scene3d>
        </w:rPr>
        <w:t>7.6</w:t>
      </w:r>
      <w:r>
        <w:rPr>
          <w:rStyle w:val="33"/>
          <w14:scene3d>
            <w14:lightRig w14:rig="threePt" w14:dir="t">
              <w14:rot w14:lat="0" w14:lon="0" w14:rev="0"/>
            </w14:lightRig>
          </w14:scene3d>
        </w:rPr>
        <w:t xml:space="preserve"> </w:t>
      </w:r>
      <w:r>
        <w:rPr>
          <w:rStyle w:val="33"/>
          <w:rFonts w:hint="eastAsia"/>
        </w:rPr>
        <w:t xml:space="preserve"> 资料归档</w:t>
      </w:r>
      <w:r>
        <w:rPr>
          <w:rFonts w:hint="eastAsia"/>
        </w:rPr>
        <w:tab/>
      </w:r>
      <w:r>
        <w:rPr>
          <w:rFonts w:hint="eastAsia"/>
        </w:rPr>
        <w:fldChar w:fldCharType="begin"/>
      </w:r>
      <w:r>
        <w:rPr>
          <w:rFonts w:hint="eastAsia"/>
        </w:rPr>
        <w:instrText xml:space="preserve"> </w:instrText>
      </w:r>
      <w:r>
        <w:instrText xml:space="preserve">PAGEREF _Toc211527043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B1B1E40">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"_Toc211527044" </w:instrText>
      </w:r>
      <w:r>
        <w:fldChar w:fldCharType="separate"/>
      </w:r>
      <w:r>
        <w:rPr>
          <w:rStyle w:val="33"/>
          <w:rFonts w:hint="eastAsia"/>
        </w:rPr>
        <w:t>8</w:t>
      </w:r>
      <w:r>
        <w:rPr>
          <w:rStyle w:val="33"/>
        </w:rPr>
        <w:t xml:space="preserve"> </w:t>
      </w:r>
      <w:r>
        <w:rPr>
          <w:rStyle w:val="33"/>
          <w:rFonts w:hint="eastAsia"/>
        </w:rPr>
        <w:t xml:space="preserve"> 服务监督、评价与改进</w:t>
      </w:r>
      <w:r>
        <w:rPr>
          <w:rFonts w:hint="eastAsia"/>
        </w:rPr>
        <w:tab/>
      </w:r>
      <w:r>
        <w:rPr>
          <w:rFonts w:hint="eastAsia"/>
        </w:rPr>
        <w:fldChar w:fldCharType="begin"/>
      </w:r>
      <w:r>
        <w:rPr>
          <w:rFonts w:hint="eastAsia"/>
        </w:rPr>
        <w:instrText xml:space="preserve"> </w:instrText>
      </w:r>
      <w:r>
        <w:instrText xml:space="preserve">PAGEREF _Toc211527044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A644721">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"_Toc211527045" </w:instrText>
      </w:r>
      <w:r>
        <w:fldChar w:fldCharType="separate"/>
      </w:r>
      <w:r>
        <w:rPr>
          <w:rStyle w:val="33"/>
          <w:rFonts w:hint="eastAsia"/>
          <w14:scene3d>
            <w14:lightRig w14:rig="threePt" w14:dir="t">
              <w14:rot w14:lat="0" w14:lon="0" w14:rev="0"/>
            </w14:lightRig>
          </w14:scene3d>
        </w:rPr>
        <w:t>8.1</w:t>
      </w:r>
      <w:r>
        <w:rPr>
          <w:rStyle w:val="33"/>
          <w14:scene3d>
            <w14:lightRig w14:rig="threePt" w14:dir="t">
              <w14:rot w14:lat="0" w14:lon="0" w14:rev="0"/>
            </w14:lightRig>
          </w14:scene3d>
        </w:rPr>
        <w:t xml:space="preserve"> </w:t>
      </w:r>
      <w:r>
        <w:rPr>
          <w:rStyle w:val="33"/>
          <w:rFonts w:hint="eastAsia"/>
        </w:rPr>
        <w:t xml:space="preserve"> 服务监督</w:t>
      </w:r>
      <w:r>
        <w:rPr>
          <w:rFonts w:hint="eastAsia"/>
        </w:rPr>
        <w:tab/>
      </w:r>
      <w:r>
        <w:rPr>
          <w:rFonts w:hint="eastAsia"/>
        </w:rPr>
        <w:fldChar w:fldCharType="begin"/>
      </w:r>
      <w:r>
        <w:rPr>
          <w:rFonts w:hint="eastAsia"/>
        </w:rPr>
        <w:instrText xml:space="preserve"> </w:instrText>
      </w:r>
      <w:r>
        <w:instrText xml:space="preserve">PAGEREF _Toc211527045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4099A94">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"_Toc211527046" </w:instrText>
      </w:r>
      <w:r>
        <w:fldChar w:fldCharType="separate"/>
      </w:r>
      <w:r>
        <w:rPr>
          <w:rStyle w:val="33"/>
          <w:rFonts w:hint="eastAsia"/>
          <w14:scene3d>
            <w14:lightRig w14:rig="threePt" w14:dir="t">
              <w14:rot w14:lat="0" w14:lon="0" w14:rev="0"/>
            </w14:lightRig>
          </w14:scene3d>
        </w:rPr>
        <w:t>8.2</w:t>
      </w:r>
      <w:r>
        <w:rPr>
          <w:rStyle w:val="33"/>
          <w14:scene3d>
            <w14:lightRig w14:rig="threePt" w14:dir="t">
              <w14:rot w14:lat="0" w14:lon="0" w14:rev="0"/>
            </w14:lightRig>
          </w14:scene3d>
        </w:rPr>
        <w:t xml:space="preserve"> </w:t>
      </w:r>
      <w:r>
        <w:rPr>
          <w:rStyle w:val="33"/>
          <w:rFonts w:hint="eastAsia"/>
        </w:rPr>
        <w:t xml:space="preserve"> 投诉处理</w:t>
      </w:r>
      <w:r>
        <w:rPr>
          <w:rFonts w:hint="eastAsia"/>
        </w:rPr>
        <w:tab/>
      </w:r>
      <w:r>
        <w:rPr>
          <w:rFonts w:hint="eastAsia"/>
        </w:rPr>
        <w:fldChar w:fldCharType="begin"/>
      </w:r>
      <w:r>
        <w:rPr>
          <w:rFonts w:hint="eastAsia"/>
        </w:rPr>
        <w:instrText xml:space="preserve"> </w:instrText>
      </w:r>
      <w:r>
        <w:instrText xml:space="preserve">PAGEREF _Toc211527046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F7BCE38">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"_Toc211527047" </w:instrText>
      </w:r>
      <w:r>
        <w:fldChar w:fldCharType="separate"/>
      </w:r>
      <w:r>
        <w:rPr>
          <w:rStyle w:val="33"/>
          <w:rFonts w:hint="eastAsia"/>
          <w14:scene3d>
            <w14:lightRig w14:rig="threePt" w14:dir="t">
              <w14:rot w14:lat="0" w14:lon="0" w14:rev="0"/>
            </w14:lightRig>
          </w14:scene3d>
        </w:rPr>
        <w:t>8.3</w:t>
      </w:r>
      <w:r>
        <w:rPr>
          <w:rStyle w:val="33"/>
          <w14:scene3d>
            <w14:lightRig w14:rig="threePt" w14:dir="t">
              <w14:rot w14:lat="0" w14:lon="0" w14:rev="0"/>
            </w14:lightRig>
          </w14:scene3d>
        </w:rPr>
        <w:t xml:space="preserve"> </w:t>
      </w:r>
      <w:r>
        <w:rPr>
          <w:rStyle w:val="33"/>
          <w:rFonts w:hint="eastAsia"/>
        </w:rPr>
        <w:t xml:space="preserve"> 服务评价</w:t>
      </w:r>
      <w:r>
        <w:rPr>
          <w:rFonts w:hint="eastAsia"/>
        </w:rPr>
        <w:tab/>
      </w:r>
      <w:r>
        <w:rPr>
          <w:rFonts w:hint="eastAsia"/>
        </w:rPr>
        <w:fldChar w:fldCharType="begin"/>
      </w:r>
      <w:r>
        <w:rPr>
          <w:rFonts w:hint="eastAsia"/>
        </w:rPr>
        <w:instrText xml:space="preserve"> </w:instrText>
      </w:r>
      <w:r>
        <w:instrText xml:space="preserve">PAGEREF _Toc211527047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BA32BDC">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"_Toc211527048" </w:instrText>
      </w:r>
      <w:r>
        <w:fldChar w:fldCharType="separate"/>
      </w:r>
      <w:r>
        <w:rPr>
          <w:rStyle w:val="33"/>
          <w:rFonts w:hint="eastAsia"/>
          <w14:scene3d>
            <w14:lightRig w14:rig="threePt" w14:dir="t">
              <w14:rot w14:lat="0" w14:lon="0" w14:rev="0"/>
            </w14:lightRig>
          </w14:scene3d>
        </w:rPr>
        <w:t>8.4</w:t>
      </w:r>
      <w:r>
        <w:rPr>
          <w:rStyle w:val="33"/>
          <w14:scene3d>
            <w14:lightRig w14:rig="threePt" w14:dir="t">
              <w14:rot w14:lat="0" w14:lon="0" w14:rev="0"/>
            </w14:lightRig>
          </w14:scene3d>
        </w:rPr>
        <w:t xml:space="preserve"> </w:t>
      </w:r>
      <w:r>
        <w:rPr>
          <w:rStyle w:val="33"/>
          <w:rFonts w:hint="eastAsia"/>
        </w:rPr>
        <w:t xml:space="preserve"> 服务改进</w:t>
      </w:r>
      <w:r>
        <w:rPr>
          <w:rFonts w:hint="eastAsia"/>
        </w:rPr>
        <w:tab/>
      </w:r>
      <w:r>
        <w:rPr>
          <w:rFonts w:hint="eastAsia"/>
        </w:rPr>
        <w:fldChar w:fldCharType="begin"/>
      </w:r>
      <w:r>
        <w:rPr>
          <w:rFonts w:hint="eastAsia"/>
        </w:rPr>
        <w:instrText xml:space="preserve"> </w:instrText>
      </w:r>
      <w:r>
        <w:instrText xml:space="preserve">PAGEREF _Toc211527048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DD677F4">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"_Toc211527049" </w:instrText>
      </w:r>
      <w:r>
        <w:fldChar w:fldCharType="separate"/>
      </w:r>
      <w:r>
        <w:rPr>
          <w:rStyle w:val="33"/>
          <w:rFonts w:hint="eastAsia"/>
        </w:rPr>
        <w:t>附录A（资料性）</w:t>
      </w:r>
      <w:r>
        <w:rPr>
          <w:rStyle w:val="33"/>
        </w:rPr>
        <w:t xml:space="preserve"> </w:t>
      </w:r>
      <w:r>
        <w:rPr>
          <w:rStyle w:val="33"/>
          <w:rFonts w:hint="eastAsia"/>
        </w:rPr>
        <w:t xml:space="preserve"> 陪护服务工作日志</w:t>
      </w:r>
      <w:r>
        <w:rPr>
          <w:rFonts w:hint="eastAsia"/>
        </w:rPr>
        <w:tab/>
      </w:r>
      <w:r>
        <w:rPr>
          <w:rFonts w:hint="eastAsia"/>
        </w:rPr>
        <w:fldChar w:fldCharType="begin"/>
      </w:r>
      <w:r>
        <w:rPr>
          <w:rFonts w:hint="eastAsia"/>
        </w:rPr>
        <w:instrText xml:space="preserve"> </w:instrText>
      </w:r>
      <w:r>
        <w:instrText xml:space="preserve">PAGEREF _Toc211527049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7C4AE19">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"_Toc211527050" </w:instrText>
      </w:r>
      <w:r>
        <w:fldChar w:fldCharType="separate"/>
      </w:r>
      <w:r>
        <w:rPr>
          <w:rStyle w:val="33"/>
          <w:rFonts w:hint="eastAsia"/>
        </w:rPr>
        <w:t>附录B（资料性）</w:t>
      </w:r>
      <w:r>
        <w:rPr>
          <w:rStyle w:val="33"/>
        </w:rPr>
        <w:t xml:space="preserve"> </w:t>
      </w:r>
      <w:r>
        <w:rPr>
          <w:rStyle w:val="33"/>
          <w:rFonts w:hint="eastAsia"/>
        </w:rPr>
        <w:t xml:space="preserve"> Barthel指标评定方法</w:t>
      </w:r>
      <w:r>
        <w:rPr>
          <w:rFonts w:hint="eastAsia"/>
        </w:rPr>
        <w:tab/>
      </w:r>
      <w:r>
        <w:rPr>
          <w:rFonts w:hint="eastAsia"/>
        </w:rPr>
        <w:fldChar w:fldCharType="begin"/>
      </w:r>
      <w:r>
        <w:rPr>
          <w:rFonts w:hint="eastAsia"/>
        </w:rPr>
        <w:instrText xml:space="preserve"> </w:instrText>
      </w:r>
      <w:r>
        <w:instrText xml:space="preserve">PAGEREF _Toc211527050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31F59652">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"_Toc211527053" </w:instrText>
      </w:r>
      <w:r>
        <w:fldChar w:fldCharType="separate"/>
      </w:r>
      <w:r>
        <w:rPr>
          <w:rStyle w:val="33"/>
          <w:rFonts w:hint="eastAsia"/>
        </w:rPr>
        <w:t>参考文献</w:t>
      </w:r>
      <w:r>
        <w:rPr>
          <w:rFonts w:hint="eastAsia"/>
        </w:rPr>
        <w:tab/>
      </w:r>
      <w:r>
        <w:rPr>
          <w:rFonts w:hint="eastAsia"/>
        </w:rPr>
        <w:fldChar w:fldCharType="begin"/>
      </w:r>
      <w:r>
        <w:rPr>
          <w:rFonts w:hint="eastAsia"/>
        </w:rPr>
        <w:instrText xml:space="preserve"> </w:instrText>
      </w:r>
      <w:r>
        <w:instrText xml:space="preserve">PAGEREF _Toc211527053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03843CA">
      <w:pPr>
        <w:pStyle w:val="93"/>
        <w:spacing w:after="360"/>
        <w:jc w:val="both"/>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6"/>
    <w:p w14:paraId="10657006">
      <w:pPr>
        <w:pStyle w:val="91"/>
        <w:spacing w:before="560" w:after="360"/>
      </w:pPr>
      <w:bookmarkStart w:id="17" w:name="_Toc211527022"/>
      <w:bookmarkStart w:id="18" w:name="BookMark2"/>
      <w:r>
        <w:rPr>
          <w:rFonts w:hint="eastAsia"/>
          <w:spacing w:val="320"/>
        </w:rPr>
        <w:t>前</w:t>
      </w:r>
      <w:r>
        <w:rPr>
          <w:rFonts w:hint="eastAsia"/>
        </w:rPr>
        <w:t>言</w:t>
      </w:r>
      <w:bookmarkEnd w:id="17"/>
    </w:p>
    <w:p w14:paraId="736EBF0A">
      <w:pPr>
        <w:pStyle w:val="58"/>
        <w:ind w:firstLine="420"/>
      </w:pPr>
      <w:r>
        <w:rPr>
          <w:rFonts w:hint="eastAsia"/>
        </w:rPr>
        <w:t>本文件按照GB/T 1.1—2020《标准化工作导则  第1部分：标准化文件的结构和起草规则》的规定起草。</w:t>
      </w:r>
    </w:p>
    <w:p w14:paraId="50209F0A">
      <w:pPr>
        <w:pStyle w:val="58"/>
        <w:ind w:firstLine="420"/>
      </w:pPr>
      <w:r>
        <w:rPr>
          <w:rFonts w:hint="eastAsia"/>
        </w:rPr>
        <w:t>请注意本文件的某些内容可能涉及专利。本文件的发布机构不承担识别专利的责任。</w:t>
      </w:r>
    </w:p>
    <w:p w14:paraId="413E232A">
      <w:pPr>
        <w:pStyle w:val="58"/>
        <w:ind w:firstLine="420"/>
      </w:pPr>
      <w:r>
        <w:rPr>
          <w:rFonts w:hint="eastAsia"/>
        </w:rPr>
        <w:t>本文件由中国物业管理协会标准化建设专业委员会提出并归口。</w:t>
      </w:r>
    </w:p>
    <w:p w14:paraId="119D95D0">
      <w:pPr>
        <w:pStyle w:val="58"/>
        <w:ind w:firstLine="420"/>
        <w:rPr>
          <w:rFonts w:hint="eastAsia"/>
          <w:lang w:val="en-US" w:eastAsia="zh-CN"/>
        </w:rPr>
      </w:pPr>
      <w:r>
        <w:rPr>
          <w:rFonts w:hint="eastAsia"/>
          <w:lang w:val="en-US" w:eastAsia="zh-CN"/>
        </w:rPr>
        <w:t>本文件起草单位：</w:t>
      </w:r>
    </w:p>
    <w:p w14:paraId="5B29E169">
      <w:pPr>
        <w:pStyle w:val="58"/>
        <w:ind w:firstLine="420"/>
        <w:rPr>
          <w:rFonts w:hint="eastAsia"/>
          <w:lang w:val="en-US" w:eastAsia="zh-CN"/>
        </w:rPr>
      </w:pPr>
      <w:r>
        <w:rPr>
          <w:rFonts w:hint="eastAsia"/>
          <w:lang w:val="en-US" w:eastAsia="zh-CN"/>
        </w:rPr>
        <w:t>本文件主要起草人：</w:t>
      </w:r>
    </w:p>
    <w:p w14:paraId="35C8E847">
      <w:pPr>
        <w:pStyle w:val="58"/>
        <w:ind w:firstLine="420"/>
      </w:pPr>
      <w:r>
        <w:rPr>
          <w:rFonts w:hint="eastAsia"/>
        </w:rPr>
        <w:t>本文件主要审查人：</w:t>
      </w:r>
    </w:p>
    <w:p w14:paraId="51869107">
      <w:pPr>
        <w:pStyle w:val="58"/>
        <w:ind w:firstLine="420"/>
      </w:pPr>
      <w:r>
        <w:rPr>
          <w:rFonts w:hint="eastAsia"/>
        </w:rPr>
        <w:t>本文件为首次发布。</w:t>
      </w:r>
    </w:p>
    <w:p w14:paraId="5FD5DC33">
      <w:pPr>
        <w:pStyle w:val="58"/>
        <w:ind w:firstLine="420"/>
      </w:pPr>
    </w:p>
    <w:p w14:paraId="41FF6039">
      <w:pPr>
        <w:pStyle w:val="58"/>
        <w:ind w:firstLine="420"/>
        <w:sectPr>
          <w:pgSz w:w="11906" w:h="16838"/>
          <w:pgMar w:top="1928" w:right="1134" w:bottom="1134" w:left="1134" w:header="1418" w:footer="1134" w:gutter="284"/>
          <w:pgNumType w:fmt="upperRoman"/>
          <w:cols w:space="425" w:num="1"/>
          <w:formProt w:val="0"/>
          <w:docGrid w:linePitch="312" w:charSpace="0"/>
        </w:sectPr>
      </w:pPr>
    </w:p>
    <w:bookmarkEnd w:id="18"/>
    <w:p w14:paraId="59FA171D">
      <w:pPr>
        <w:spacing w:line="20" w:lineRule="exact"/>
        <w:jc w:val="center"/>
        <w:rPr>
          <w:rFonts w:hint="eastAsia" w:ascii="黑体" w:hAnsi="黑体" w:eastAsia="黑体"/>
          <w:sz w:val="32"/>
          <w:szCs w:val="32"/>
        </w:rPr>
      </w:pPr>
      <w:bookmarkStart w:id="19" w:name="BookMark4"/>
    </w:p>
    <w:p w14:paraId="6A559A09">
      <w:pPr>
        <w:spacing w:line="20" w:lineRule="exact"/>
        <w:jc w:val="center"/>
        <w:rPr>
          <w:rFonts w:hint="eastAsia" w:ascii="黑体" w:hAnsi="黑体" w:eastAsia="黑体"/>
          <w:sz w:val="32"/>
          <w:szCs w:val="32"/>
        </w:rPr>
      </w:pPr>
    </w:p>
    <w:sdt>
      <w:sdtPr>
        <w:tag w:val="NEW_STAND_NAME"/>
        <w:id w:val="595910757"/>
        <w:lock w:val="sdtLocked"/>
        <w:placeholder>
          <w:docPart w:val="5943E78E40584ADF8D2426E01B1FECC8"/>
        </w:placeholder>
      </w:sdtPr>
      <w:sdtContent>
        <w:p w14:paraId="710337B0">
          <w:pPr>
            <w:pStyle w:val="179"/>
            <w:spacing w:before="240" w:beforeLines="100" w:after="528" w:afterLines="220"/>
            <w:rPr>
              <w:rFonts w:hint="eastAsia"/>
            </w:rPr>
          </w:pPr>
          <w:bookmarkStart w:id="20" w:name="NEW_STAND_NAME"/>
          <w:r>
            <w:rPr>
              <w:rFonts w:hint="eastAsia"/>
            </w:rPr>
            <w:t>医院物业 陪护服务规范</w:t>
          </w:r>
        </w:p>
      </w:sdtContent>
    </w:sdt>
    <w:bookmarkEnd w:id="20"/>
    <w:p w14:paraId="237C54C6">
      <w:pPr>
        <w:pStyle w:val="106"/>
        <w:spacing w:before="240" w:after="240"/>
      </w:pPr>
      <w:bookmarkStart w:id="21" w:name="_Toc17233325"/>
      <w:bookmarkStart w:id="22" w:name="_Toc24884211"/>
      <w:bookmarkStart w:id="23" w:name="_Toc17233333"/>
      <w:bookmarkStart w:id="24" w:name="_Toc26718930"/>
      <w:bookmarkStart w:id="25" w:name="_Toc26986530"/>
      <w:bookmarkStart w:id="26" w:name="_Toc26986771"/>
      <w:bookmarkStart w:id="27" w:name="_Toc211527023"/>
      <w:bookmarkStart w:id="28" w:name="_Toc24884218"/>
      <w:bookmarkStart w:id="29" w:name="_Toc26648465"/>
      <w:bookmarkStart w:id="30" w:name="_Toc97192964"/>
      <w:r>
        <w:rPr>
          <w:rFonts w:hint="eastAsia"/>
        </w:rPr>
        <w:t>范围</w:t>
      </w:r>
      <w:bookmarkEnd w:id="21"/>
      <w:bookmarkEnd w:id="22"/>
      <w:bookmarkEnd w:id="23"/>
      <w:bookmarkEnd w:id="24"/>
      <w:bookmarkEnd w:id="25"/>
      <w:bookmarkEnd w:id="26"/>
      <w:bookmarkEnd w:id="27"/>
      <w:bookmarkEnd w:id="28"/>
      <w:bookmarkEnd w:id="29"/>
      <w:bookmarkEnd w:id="30"/>
    </w:p>
    <w:p w14:paraId="23505A44">
      <w:pPr>
        <w:pStyle w:val="58"/>
        <w:ind w:firstLine="420"/>
      </w:pPr>
      <w:bookmarkStart w:id="31" w:name="_Toc24884212"/>
      <w:bookmarkStart w:id="32" w:name="_Toc17233326"/>
      <w:bookmarkStart w:id="33" w:name="_Toc24884219"/>
      <w:bookmarkStart w:id="34" w:name="_Toc26648466"/>
      <w:bookmarkStart w:id="35" w:name="_Toc17233334"/>
      <w:r>
        <w:rPr>
          <w:rFonts w:hint="eastAsia"/>
        </w:rPr>
        <w:t>本文件规定了</w:t>
      </w:r>
      <w:bookmarkStart w:id="36" w:name="_Hlk178538802"/>
      <w:r>
        <w:rPr>
          <w:rFonts w:hint="eastAsia"/>
        </w:rPr>
        <w:t>医院物业服务企业开展</w:t>
      </w:r>
      <w:bookmarkEnd w:id="36"/>
      <w:r>
        <w:rPr>
          <w:rFonts w:hint="eastAsia"/>
        </w:rPr>
        <w:t>陪护服务的管理要求、服务分级与人员配置、服务要求、服务流程及服务监督、评价与改进。</w:t>
      </w:r>
    </w:p>
    <w:p w14:paraId="5CA3ABFC">
      <w:pPr>
        <w:pStyle w:val="58"/>
        <w:ind w:firstLine="420"/>
      </w:pPr>
      <w:r>
        <w:rPr>
          <w:rFonts w:hint="eastAsia"/>
        </w:rPr>
        <w:t>本文件适用于</w:t>
      </w:r>
      <w:bookmarkStart w:id="37" w:name="_Hlk178538860"/>
      <w:r>
        <w:rPr>
          <w:rFonts w:hint="eastAsia"/>
        </w:rPr>
        <w:t>医院物业管理项目的陪护服务活动</w:t>
      </w:r>
      <w:r>
        <w:rPr>
          <w:rFonts w:hint="eastAsia"/>
          <w:lang w:eastAsia="zh-CN"/>
        </w:rPr>
        <w:t>，其他提供陪护服务的机构可参照执行。</w:t>
      </w:r>
      <w:bookmarkEnd w:id="37"/>
    </w:p>
    <w:p w14:paraId="1842472D">
      <w:pPr>
        <w:pStyle w:val="106"/>
        <w:spacing w:before="240" w:after="240"/>
      </w:pPr>
      <w:bookmarkStart w:id="38" w:name="_Toc26718931"/>
      <w:bookmarkStart w:id="39" w:name="_Toc97192965"/>
      <w:bookmarkStart w:id="40" w:name="_Toc26986531"/>
      <w:bookmarkStart w:id="41" w:name="_Toc211527024"/>
      <w:bookmarkStart w:id="42" w:name="_Toc26986772"/>
      <w:r>
        <w:rPr>
          <w:rFonts w:hint="eastAsia"/>
        </w:rPr>
        <w:t>规范性引用文件</w:t>
      </w:r>
      <w:bookmarkEnd w:id="31"/>
      <w:bookmarkEnd w:id="32"/>
      <w:bookmarkEnd w:id="33"/>
      <w:bookmarkEnd w:id="34"/>
      <w:bookmarkEnd w:id="35"/>
      <w:bookmarkEnd w:id="38"/>
      <w:bookmarkEnd w:id="39"/>
      <w:bookmarkEnd w:id="40"/>
      <w:bookmarkEnd w:id="41"/>
      <w:bookmarkEnd w:id="42"/>
    </w:p>
    <w:sdt>
      <w:sdtPr>
        <w:rPr>
          <w:rFonts w:hint="eastAsia"/>
        </w:rPr>
        <w:id w:val="715848253"/>
        <w:placeholder>
          <w:docPart w:val="2264BD228833406EB6C41EB1C185795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B15600">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B5C523">
      <w:pPr>
        <w:pStyle w:val="233"/>
        <w:rPr>
          <w:rFonts w:ascii="Times New Roman" w:hAnsi="Times New Roman"/>
        </w:rPr>
      </w:pPr>
      <w:r>
        <w:rPr>
          <w:rFonts w:ascii="Times New Roman" w:hAnsi="Times New Roman"/>
        </w:rPr>
        <w:t>GB 15982 医院消毒卫生标准</w:t>
      </w:r>
    </w:p>
    <w:p w14:paraId="3E5881C4">
      <w:pPr>
        <w:pStyle w:val="233"/>
        <w:rPr>
          <w:rFonts w:hint="eastAsia"/>
        </w:rPr>
      </w:pPr>
      <w:r>
        <w:rPr>
          <w:rFonts w:ascii="Times New Roman" w:hAnsi="Times New Roman"/>
        </w:rPr>
        <w:t xml:space="preserve">GB/T 17242 </w:t>
      </w:r>
      <w:r>
        <w:rPr>
          <w:rFonts w:hint="eastAsia"/>
        </w:rPr>
        <w:t>投诉处理指南</w:t>
      </w:r>
    </w:p>
    <w:p w14:paraId="7EB796ED">
      <w:pPr>
        <w:pStyle w:val="233"/>
        <w:rPr>
          <w:rFonts w:ascii="Times New Roman" w:hAnsi="Times New Roman"/>
        </w:rPr>
      </w:pPr>
      <w:bookmarkStart w:id="43" w:name="OLE_LINK3"/>
      <w:r>
        <w:rPr>
          <w:rFonts w:ascii="Times New Roman" w:hAnsi="Times New Roman"/>
        </w:rPr>
        <w:t xml:space="preserve">GB/T 18894 </w:t>
      </w:r>
      <w:r>
        <w:rPr>
          <w:rFonts w:hint="eastAsia" w:ascii="Times New Roman" w:hAnsi="Times New Roman"/>
        </w:rPr>
        <w:t>电子文件归档与电子档案管理规范</w:t>
      </w:r>
    </w:p>
    <w:p w14:paraId="647722EE">
      <w:pPr>
        <w:pStyle w:val="233"/>
        <w:rPr>
          <w:rFonts w:ascii="Times New Roman" w:hAnsi="Times New Roman"/>
        </w:rPr>
      </w:pPr>
      <w:r>
        <w:rPr>
          <w:rFonts w:ascii="Times New Roman" w:hAnsi="Times New Roman"/>
        </w:rPr>
        <w:t xml:space="preserve">GB/T 28917-2012 </w:t>
      </w:r>
      <w:r>
        <w:rPr>
          <w:rFonts w:hint="eastAsia" w:ascii="Times New Roman" w:hAnsi="Times New Roman"/>
        </w:rPr>
        <w:t>医院</w:t>
      </w:r>
      <w:r>
        <w:rPr>
          <w:rFonts w:ascii="Times New Roman" w:hAnsi="Times New Roman"/>
        </w:rPr>
        <w:t>陪护服务基本要求</w:t>
      </w:r>
    </w:p>
    <w:p w14:paraId="4983DF6C">
      <w:pPr>
        <w:pStyle w:val="233"/>
        <w:rPr>
          <w:rFonts w:hint="eastAsia"/>
        </w:rPr>
      </w:pPr>
      <w:r>
        <w:rPr>
          <w:rFonts w:ascii="Times New Roman" w:hAnsi="Times New Roman"/>
        </w:rPr>
        <w:t>GB/T 45700</w:t>
      </w:r>
      <w:bookmarkEnd w:id="43"/>
      <w:r>
        <w:rPr>
          <w:rFonts w:hint="eastAsia"/>
        </w:rPr>
        <w:t xml:space="preserve"> 物业管理术语</w:t>
      </w:r>
    </w:p>
    <w:p w14:paraId="631F1FB4">
      <w:pPr>
        <w:pStyle w:val="233"/>
        <w:rPr>
          <w:rFonts w:hint="eastAsia"/>
        </w:rPr>
      </w:pPr>
      <w:r>
        <w:rPr>
          <w:rFonts w:hint="eastAsia" w:ascii="Times New Roman" w:hAnsi="Times New Roman"/>
        </w:rPr>
        <w:t xml:space="preserve">WS/T 431 </w:t>
      </w:r>
      <w:r>
        <w:rPr>
          <w:rFonts w:hint="eastAsia"/>
        </w:rPr>
        <w:t>护理</w:t>
      </w:r>
      <w:r>
        <w:t>分级标准</w:t>
      </w:r>
    </w:p>
    <w:p w14:paraId="00BD10CF">
      <w:pPr>
        <w:pStyle w:val="106"/>
        <w:spacing w:before="240" w:after="240"/>
      </w:pPr>
      <w:bookmarkStart w:id="44" w:name="_Toc97192966"/>
      <w:bookmarkStart w:id="45" w:name="_Toc211527025"/>
      <w:r>
        <w:rPr>
          <w:rFonts w:hint="eastAsia"/>
          <w:szCs w:val="21"/>
        </w:rPr>
        <w:t>术语和定义</w:t>
      </w:r>
      <w:bookmarkEnd w:id="44"/>
      <w:bookmarkEnd w:id="45"/>
    </w:p>
    <w:sdt>
      <w:sdtPr>
        <w:id w:val="-1909835108"/>
        <w:placeholder>
          <w:docPart w:val="6BEEA0CBE77348AB8BC4C63247D3D58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2F649A3">
          <w:pPr>
            <w:pStyle w:val="58"/>
            <w:ind w:firstLine="420"/>
          </w:pPr>
          <w:bookmarkStart w:id="46" w:name="_Toc26986532"/>
          <w:bookmarkEnd w:id="46"/>
          <w:r>
            <w:rPr>
              <w:rFonts w:hint="eastAsia"/>
            </w:rPr>
            <w:t>GB/T 28917、GB/T 45700</w:t>
          </w:r>
          <w:r>
            <w:t>界定的以及下列术语和定义适用于本文件。</w:t>
          </w:r>
        </w:p>
      </w:sdtContent>
    </w:sdt>
    <w:p w14:paraId="55B767DB">
      <w:pPr>
        <w:pStyle w:val="225"/>
        <w:ind w:left="420" w:hanging="420" w:hangingChars="200"/>
        <w:rPr>
          <w:rFonts w:hint="eastAsia" w:ascii="黑体" w:hAnsi="黑体" w:eastAsia="黑体"/>
        </w:rPr>
      </w:pPr>
    </w:p>
    <w:p w14:paraId="00105B86">
      <w:pPr>
        <w:pStyle w:val="225"/>
        <w:numPr>
          <w:ilvl w:val="0"/>
          <w:numId w:val="0"/>
        </w:numPr>
        <w:ind w:left="420"/>
        <w:rPr>
          <w:rFonts w:hint="eastAsia" w:ascii="黑体" w:hAnsi="黑体" w:eastAsia="黑体"/>
        </w:rPr>
      </w:pPr>
      <w:r>
        <w:rPr>
          <w:rFonts w:hint="eastAsia" w:ascii="黑体" w:hAnsi="黑体" w:eastAsia="黑体"/>
        </w:rPr>
        <w:t xml:space="preserve">医院陪护服务 </w:t>
      </w:r>
      <w:r>
        <w:rPr>
          <w:rFonts w:ascii="黑体" w:hAnsi="黑体" w:eastAsia="黑体"/>
        </w:rPr>
        <w:t>hospital property escort service</w:t>
      </w:r>
      <w:r>
        <w:rPr>
          <w:rFonts w:hint="eastAsia" w:ascii="黑体" w:hAnsi="黑体" w:eastAsia="黑体"/>
        </w:rPr>
        <w:t xml:space="preserve"> </w:t>
      </w:r>
    </w:p>
    <w:p w14:paraId="0E93C567">
      <w:pPr>
        <w:pStyle w:val="58"/>
        <w:ind w:firstLine="420"/>
      </w:pPr>
      <w:r>
        <w:rPr>
          <w:rFonts w:hint="eastAsia"/>
        </w:rPr>
        <w:t>为住院治疗的病患者提供的日常起居照料、医疗护理协助、饮食照料、卫生清理等活动。</w:t>
      </w:r>
    </w:p>
    <w:p w14:paraId="5608C0DA">
      <w:pPr>
        <w:pStyle w:val="58"/>
        <w:ind w:firstLine="420"/>
      </w:pPr>
      <w:r>
        <w:rPr>
          <w:rFonts w:hint="eastAsia"/>
        </w:rPr>
        <w:t>[来源：GB/T 28917,2.1]</w:t>
      </w:r>
    </w:p>
    <w:p w14:paraId="28DB3C28">
      <w:pPr>
        <w:pStyle w:val="225"/>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医疗护理员 </w:t>
      </w:r>
      <w:r>
        <w:rPr>
          <w:rFonts w:ascii="黑体" w:hAnsi="黑体" w:eastAsia="黑体"/>
        </w:rPr>
        <w:t>hospital patient escort</w:t>
      </w:r>
    </w:p>
    <w:p w14:paraId="7D9F9B4D">
      <w:pPr>
        <w:pStyle w:val="58"/>
        <w:ind w:firstLine="420"/>
      </w:pPr>
      <w:r>
        <w:rPr>
          <w:rFonts w:hint="eastAsia"/>
        </w:rPr>
        <w:t>对病人和其他需要照护的人群提供生活照护，并在医务人员的指导下进行部分辅助工作的人员。</w:t>
      </w:r>
    </w:p>
    <w:p w14:paraId="6F15D1D4">
      <w:pPr>
        <w:pStyle w:val="106"/>
        <w:spacing w:before="240" w:after="240"/>
      </w:pPr>
      <w:bookmarkStart w:id="47" w:name="_Toc208775429"/>
      <w:bookmarkStart w:id="48" w:name="_Toc211526368"/>
      <w:bookmarkStart w:id="49" w:name="_Toc211527026"/>
      <w:r>
        <w:rPr>
          <w:rFonts w:hint="eastAsia"/>
        </w:rPr>
        <w:t>管理要求</w:t>
      </w:r>
      <w:bookmarkEnd w:id="47"/>
      <w:bookmarkEnd w:id="48"/>
      <w:bookmarkEnd w:id="49"/>
    </w:p>
    <w:p w14:paraId="331FB1C5">
      <w:pPr>
        <w:pStyle w:val="107"/>
        <w:spacing w:before="120" w:after="120"/>
      </w:pPr>
      <w:bookmarkStart w:id="50" w:name="_Toc211526369"/>
      <w:bookmarkStart w:id="51" w:name="_Toc211527027"/>
      <w:r>
        <w:rPr>
          <w:rFonts w:hint="eastAsia"/>
        </w:rPr>
        <w:t>机构</w:t>
      </w:r>
      <w:bookmarkEnd w:id="50"/>
      <w:bookmarkEnd w:id="51"/>
    </w:p>
    <w:p w14:paraId="61F3A0DD">
      <w:pPr>
        <w:pStyle w:val="167"/>
      </w:pPr>
      <w:r>
        <w:rPr>
          <w:rFonts w:hint="eastAsia"/>
        </w:rPr>
        <w:t>应结合医院要求和资源条件，在醒目位置公示相关证照、服务项目、服务内容、收费标准、服务流程和投诉监督电话。公示内容应真实明确、字迹清晰。</w:t>
      </w:r>
    </w:p>
    <w:p w14:paraId="5A6F375E">
      <w:pPr>
        <w:pStyle w:val="167"/>
      </w:pPr>
      <w:r>
        <w:rPr>
          <w:rFonts w:hint="eastAsia"/>
        </w:rPr>
        <w:t>应建立服务质量管理体系，为医疗护理员提供必要的防护用品、持续培训、人文关怀等。</w:t>
      </w:r>
    </w:p>
    <w:p w14:paraId="77ABFF5D">
      <w:pPr>
        <w:pStyle w:val="167"/>
      </w:pPr>
      <w:r>
        <w:rPr>
          <w:rFonts w:hint="eastAsia"/>
        </w:rPr>
        <w:t>应制定突发事件应急预案，应急预案应包括但不限于患者意外伤害、病情恶化、坠床、跌倒、走失，以及陪护期间火灾、停电等方面。</w:t>
      </w:r>
    </w:p>
    <w:p w14:paraId="1C709A68">
      <w:pPr>
        <w:pStyle w:val="167"/>
      </w:pPr>
      <w:r>
        <w:rPr>
          <w:rFonts w:hint="eastAsia"/>
        </w:rPr>
        <w:t>宜</w:t>
      </w:r>
      <w:r>
        <w:t>建立信息化管理系统，对</w:t>
      </w:r>
      <w:r>
        <w:rPr>
          <w:rFonts w:hint="eastAsia"/>
        </w:rPr>
        <w:t>医疗护理员</w:t>
      </w:r>
      <w:r>
        <w:t>档案、服务订单、工作记录、质量检查、满意度评价等进行数字化管理</w:t>
      </w:r>
      <w:r>
        <w:rPr>
          <w:rFonts w:hint="eastAsia"/>
        </w:rPr>
        <w:t>。</w:t>
      </w:r>
    </w:p>
    <w:p w14:paraId="26E058EE">
      <w:pPr>
        <w:pStyle w:val="107"/>
        <w:spacing w:before="120" w:after="120"/>
      </w:pPr>
      <w:bookmarkStart w:id="52" w:name="_Toc208775431"/>
      <w:bookmarkStart w:id="53" w:name="_Toc211527028"/>
      <w:bookmarkStart w:id="54" w:name="_Toc211526370"/>
      <w:r>
        <w:rPr>
          <w:rFonts w:hint="eastAsia"/>
        </w:rPr>
        <w:t>人员</w:t>
      </w:r>
      <w:bookmarkEnd w:id="52"/>
      <w:bookmarkEnd w:id="53"/>
      <w:bookmarkEnd w:id="54"/>
    </w:p>
    <w:p w14:paraId="07C07170">
      <w:pPr>
        <w:pStyle w:val="167"/>
      </w:pPr>
      <w:r>
        <w:rPr>
          <w:rFonts w:hint="eastAsia"/>
        </w:rPr>
        <w:t>应符合GB/T 28917-2012中4.1的规定。</w:t>
      </w:r>
    </w:p>
    <w:p w14:paraId="7CCC9A65">
      <w:pPr>
        <w:pStyle w:val="167"/>
      </w:pPr>
      <w:r>
        <w:rPr>
          <w:rFonts w:hint="eastAsia"/>
        </w:rPr>
        <w:t>应持有医疗护理员资格证，并定期进行继续教育、培训和考核。为精神疾病、临终老人等特殊患者提供服务的，应掌握相关护理和职业防护等技能。</w:t>
      </w:r>
    </w:p>
    <w:p w14:paraId="504C042F">
      <w:pPr>
        <w:pStyle w:val="167"/>
      </w:pPr>
      <w:r>
        <w:rPr>
          <w:rFonts w:hint="eastAsia"/>
        </w:rPr>
        <w:t>上岗前应进行培训，每年应接受不少于一次的复训与考核，培训内容应至少包括以下内容：</w:t>
      </w:r>
    </w:p>
    <w:p w14:paraId="0F4963B5">
      <w:pPr>
        <w:pStyle w:val="176"/>
      </w:pPr>
      <w:r>
        <w:rPr>
          <w:rFonts w:hint="eastAsia"/>
          <w:lang w:eastAsia="zh-CN"/>
        </w:rPr>
        <w:t>职业</w:t>
      </w:r>
      <w:r>
        <w:rPr>
          <w:rFonts w:hint="eastAsia"/>
        </w:rPr>
        <w:t>道德与基本行为规范，仪容仪表；</w:t>
      </w:r>
    </w:p>
    <w:p w14:paraId="0D82C80F">
      <w:pPr>
        <w:pStyle w:val="176"/>
      </w:pPr>
      <w:r>
        <w:rPr>
          <w:rFonts w:hint="eastAsia"/>
        </w:rPr>
        <w:t>相关的法律法规知识；</w:t>
      </w:r>
    </w:p>
    <w:p w14:paraId="6D41AEDA">
      <w:pPr>
        <w:pStyle w:val="176"/>
      </w:pPr>
      <w:r>
        <w:rPr>
          <w:rFonts w:hint="eastAsia"/>
        </w:rPr>
        <w:t>基础医疗知识、传染病防护知识；</w:t>
      </w:r>
    </w:p>
    <w:p w14:paraId="0BDDE55F">
      <w:pPr>
        <w:pStyle w:val="176"/>
      </w:pPr>
      <w:r>
        <w:rPr>
          <w:rFonts w:hint="eastAsia"/>
        </w:rPr>
        <w:t>安全应急知识；</w:t>
      </w:r>
    </w:p>
    <w:p w14:paraId="5AB530DF">
      <w:pPr>
        <w:pStyle w:val="176"/>
      </w:pPr>
      <w:r>
        <w:rPr>
          <w:rFonts w:hint="eastAsia"/>
        </w:rPr>
        <w:t>服务技能专业知识；</w:t>
      </w:r>
    </w:p>
    <w:p w14:paraId="7420C029">
      <w:pPr>
        <w:pStyle w:val="176"/>
      </w:pPr>
      <w:r>
        <w:rPr>
          <w:rFonts w:hint="eastAsia"/>
        </w:rPr>
        <w:t>急救知识技能；</w:t>
      </w:r>
    </w:p>
    <w:p w14:paraId="2778ED57">
      <w:pPr>
        <w:pStyle w:val="176"/>
      </w:pPr>
      <w:r>
        <w:rPr>
          <w:rFonts w:hint="eastAsia"/>
        </w:rPr>
        <w:t>营养知识；</w:t>
      </w:r>
    </w:p>
    <w:p w14:paraId="6535F39A">
      <w:pPr>
        <w:pStyle w:val="176"/>
      </w:pPr>
      <w:r>
        <w:rPr>
          <w:rFonts w:hint="eastAsia"/>
        </w:rPr>
        <w:t>人际交往与心理健康知识；</w:t>
      </w:r>
    </w:p>
    <w:p w14:paraId="61CF4258">
      <w:pPr>
        <w:pStyle w:val="176"/>
      </w:pPr>
      <w:r>
        <w:rPr>
          <w:rFonts w:hint="eastAsia"/>
        </w:rPr>
        <w:t>服务责任与风险知识。</w:t>
      </w:r>
    </w:p>
    <w:p w14:paraId="67311D48">
      <w:pPr>
        <w:pStyle w:val="167"/>
      </w:pPr>
      <w:r>
        <w:rPr>
          <w:rFonts w:hint="eastAsia"/>
        </w:rPr>
        <w:t>应善于沟通，并熟悉所在医院的基本情况、管理制度、陪护服务程序等。</w:t>
      </w:r>
    </w:p>
    <w:p w14:paraId="623D41E6">
      <w:pPr>
        <w:pStyle w:val="167"/>
        <w:rPr>
          <w:rFonts w:ascii="黑体" w:eastAsia="黑体"/>
        </w:rPr>
      </w:pPr>
      <w:r>
        <w:rPr>
          <w:rFonts w:hint="eastAsia"/>
        </w:rPr>
        <w:t>应尊重患者及家属的服务要求，主动保护患者隐私。</w:t>
      </w:r>
    </w:p>
    <w:p w14:paraId="6316003A">
      <w:pPr>
        <w:pStyle w:val="107"/>
        <w:spacing w:before="120" w:after="120"/>
      </w:pPr>
      <w:bookmarkStart w:id="55" w:name="_Toc211527029"/>
      <w:bookmarkStart w:id="56" w:name="_Toc211526371"/>
      <w:bookmarkStart w:id="57" w:name="_Toc208775433"/>
      <w:r>
        <w:rPr>
          <w:rFonts w:hint="eastAsia"/>
        </w:rPr>
        <w:t>感染预防与控制</w:t>
      </w:r>
      <w:bookmarkEnd w:id="55"/>
      <w:bookmarkEnd w:id="56"/>
    </w:p>
    <w:p w14:paraId="5E138B95">
      <w:pPr>
        <w:pStyle w:val="167"/>
      </w:pPr>
      <w:r>
        <w:rPr>
          <w:rFonts w:hint="eastAsia"/>
        </w:rPr>
        <w:t>应主动接受医院感染管理部门的感染预防与控制的技术指导和培训。</w:t>
      </w:r>
    </w:p>
    <w:p w14:paraId="2EDEBD27">
      <w:pPr>
        <w:pStyle w:val="167"/>
      </w:pPr>
      <w:r>
        <w:rPr>
          <w:rFonts w:hint="eastAsia"/>
        </w:rPr>
        <w:t>高风险区域、特殊患者服务的职业防护应按医院要求执行。</w:t>
      </w:r>
    </w:p>
    <w:p w14:paraId="320B5BD5">
      <w:pPr>
        <w:pStyle w:val="167"/>
      </w:pPr>
      <w:r>
        <w:rPr>
          <w:rFonts w:hint="eastAsia"/>
        </w:rPr>
        <w:t>应建立医疗护理员健康档案，定期体检、持续跟踪医疗护理员健康状态，必要时开展常见疾病的免疫接种。</w:t>
      </w:r>
    </w:p>
    <w:p w14:paraId="78CECBF9">
      <w:pPr>
        <w:pStyle w:val="167"/>
      </w:pPr>
      <w:r>
        <w:rPr>
          <w:rFonts w:hint="eastAsia"/>
        </w:rPr>
        <w:t>遇感染暴发、职业暴露等不良事件，应按医院管理要求处置。</w:t>
      </w:r>
    </w:p>
    <w:p w14:paraId="3074083E">
      <w:pPr>
        <w:pStyle w:val="107"/>
        <w:spacing w:before="120" w:after="120"/>
      </w:pPr>
      <w:bookmarkStart w:id="58" w:name="_Toc211526372"/>
      <w:bookmarkStart w:id="59" w:name="_Toc211527030"/>
      <w:r>
        <w:rPr>
          <w:rFonts w:hint="eastAsia"/>
        </w:rPr>
        <w:t>档案记录</w:t>
      </w:r>
      <w:bookmarkEnd w:id="58"/>
      <w:bookmarkEnd w:id="59"/>
    </w:p>
    <w:p w14:paraId="6E6D04DE">
      <w:pPr>
        <w:pStyle w:val="58"/>
        <w:ind w:firstLine="420"/>
      </w:pPr>
      <w:r>
        <w:rPr>
          <w:rFonts w:hint="eastAsia"/>
        </w:rPr>
        <w:t>应按照GB/T 18894的规定进行陪护服务档案管理，具体档案记录包括：</w:t>
      </w:r>
    </w:p>
    <w:p w14:paraId="6760AA63">
      <w:pPr>
        <w:pStyle w:val="176"/>
        <w:numPr>
          <w:ilvl w:val="0"/>
          <w:numId w:val="32"/>
        </w:numPr>
      </w:pPr>
      <w:r>
        <w:rPr>
          <w:rFonts w:hint="eastAsia"/>
        </w:rPr>
        <w:t>陪护合同；</w:t>
      </w:r>
    </w:p>
    <w:p w14:paraId="02758DFB">
      <w:pPr>
        <w:pStyle w:val="176"/>
      </w:pPr>
      <w:r>
        <w:rPr>
          <w:rFonts w:hint="eastAsia"/>
        </w:rPr>
        <w:t>患者信息资料，如登记表、自理能力等评估资料；</w:t>
      </w:r>
    </w:p>
    <w:p w14:paraId="72D48CE1">
      <w:pPr>
        <w:pStyle w:val="176"/>
      </w:pPr>
      <w:r>
        <w:rPr>
          <w:rFonts w:hint="eastAsia"/>
        </w:rPr>
        <w:t>医疗护理员信息资料，如员工档案、培训记录、奖惩记录、健康记录等；</w:t>
      </w:r>
    </w:p>
    <w:p w14:paraId="5F2D8482">
      <w:pPr>
        <w:pStyle w:val="176"/>
      </w:pPr>
      <w:r>
        <w:rPr>
          <w:rFonts w:hint="eastAsia"/>
        </w:rPr>
        <w:t>护理工作记录，如陪护服务工作日志（参见附录A）；</w:t>
      </w:r>
    </w:p>
    <w:p w14:paraId="704147DD">
      <w:pPr>
        <w:pStyle w:val="176"/>
      </w:pPr>
      <w:r>
        <w:rPr>
          <w:rFonts w:hint="eastAsia"/>
        </w:rPr>
        <w:t>评价考核等信息资料，如各类检查记录，患者评价、医护评价记录，满意度调查记录等；</w:t>
      </w:r>
    </w:p>
    <w:p w14:paraId="136EE4EB">
      <w:pPr>
        <w:pStyle w:val="176"/>
      </w:pPr>
      <w:r>
        <w:rPr>
          <w:rFonts w:hint="eastAsia"/>
        </w:rPr>
        <w:t>突发事件资料，如员工职业暴露调查材料及其他不良事件记录等。</w:t>
      </w:r>
    </w:p>
    <w:bookmarkEnd w:id="57"/>
    <w:p w14:paraId="2050DA1F">
      <w:pPr>
        <w:pStyle w:val="167"/>
        <w:rPr>
          <w:rFonts w:ascii="黑体" w:eastAsia="黑体"/>
        </w:rPr>
      </w:pPr>
      <w:r>
        <w:rPr>
          <w:rFonts w:hint="eastAsia"/>
        </w:rPr>
        <w:t>所有服务档案应真实、准确、完整，保存期不少于2年。医疗护理员档案的保存期限应至少截至到医疗护理员解聘后3年，患者档案的保存期限应至少截至机构解散后3年。</w:t>
      </w:r>
    </w:p>
    <w:p w14:paraId="58CCAD6E">
      <w:pPr>
        <w:pStyle w:val="106"/>
        <w:spacing w:before="240" w:after="240"/>
      </w:pPr>
      <w:bookmarkStart w:id="60" w:name="_Toc208775432"/>
      <w:bookmarkStart w:id="61" w:name="_Toc211526373"/>
      <w:bookmarkStart w:id="62" w:name="_Toc211527031"/>
      <w:r>
        <w:rPr>
          <w:rFonts w:hint="eastAsia"/>
        </w:rPr>
        <w:t>服务分级</w:t>
      </w:r>
      <w:bookmarkEnd w:id="60"/>
      <w:r>
        <w:rPr>
          <w:rFonts w:hint="eastAsia"/>
        </w:rPr>
        <w:t>与人员配置</w:t>
      </w:r>
      <w:bookmarkEnd w:id="61"/>
      <w:bookmarkEnd w:id="62"/>
    </w:p>
    <w:p w14:paraId="3F262A74">
      <w:pPr>
        <w:pStyle w:val="164"/>
      </w:pPr>
      <w:bookmarkStart w:id="63" w:name="_Toc208775441"/>
      <w:r>
        <w:rPr>
          <w:rFonts w:hint="eastAsia"/>
        </w:rPr>
        <w:t>依据患者病情和自理能力，医院陪护分为特级陪护、一级陪护、二级陪护和三级陪护。</w:t>
      </w:r>
    </w:p>
    <w:p w14:paraId="363787A5">
      <w:pPr>
        <w:pStyle w:val="164"/>
      </w:pPr>
      <w:r>
        <w:rPr>
          <w:rFonts w:hint="eastAsia"/>
        </w:rPr>
        <w:t>医院陪护服务的护理分级方法、分级依据及患者自理能力分级等应符合</w:t>
      </w:r>
      <w:r>
        <w:t>WS/T 431</w:t>
      </w:r>
      <w:r>
        <w:rPr>
          <w:rFonts w:hint="eastAsia"/>
        </w:rPr>
        <w:t>的规定，具体服务分级匹配可参考表</w:t>
      </w:r>
      <w:r>
        <w:t>1</w:t>
      </w:r>
      <w:r>
        <w:rPr>
          <w:rFonts w:hint="eastAsia"/>
        </w:rPr>
        <w:t>。</w:t>
      </w:r>
    </w:p>
    <w:p w14:paraId="0B5BA72D">
      <w:pPr>
        <w:widowControl/>
        <w:numPr>
          <w:ilvl w:val="0"/>
          <w:numId w:val="16"/>
        </w:numPr>
        <w:tabs>
          <w:tab w:val="left" w:pos="0"/>
        </w:tabs>
        <w:adjustRightInd/>
        <w:spacing w:before="120" w:beforeLines="50" w:after="120" w:afterLines="50" w:line="240" w:lineRule="auto"/>
        <w:jc w:val="center"/>
        <w:rPr>
          <w:rFonts w:ascii="黑体" w:hAnsi="Times New Roman" w:eastAsia="黑体"/>
          <w:kern w:val="0"/>
          <w:szCs w:val="24"/>
        </w:rPr>
      </w:pPr>
      <w:r>
        <w:rPr>
          <w:rFonts w:hint="eastAsia" w:ascii="黑体" w:hAnsi="Times New Roman" w:eastAsia="黑体"/>
          <w:kern w:val="0"/>
          <w:szCs w:val="24"/>
        </w:rPr>
        <w:t>医院陪护服务分级和护理员配置</w:t>
      </w:r>
    </w:p>
    <w:tbl>
      <w:tblPr>
        <w:tblStyle w:val="27"/>
        <w:tblW w:w="96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913"/>
        <w:gridCol w:w="2023"/>
        <w:gridCol w:w="1912"/>
        <w:gridCol w:w="1540"/>
        <w:gridCol w:w="2248"/>
      </w:tblGrid>
      <w:tr w14:paraId="73369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5" w:hRule="atLeast"/>
          <w:tblHeader/>
          <w:jc w:val="center"/>
        </w:trPr>
        <w:tc>
          <w:tcPr>
            <w:tcW w:w="1913" w:type="dxa"/>
            <w:tcBorders>
              <w:top w:val="single" w:color="auto" w:sz="8" w:space="0"/>
              <w:bottom w:val="single" w:color="auto" w:sz="8" w:space="0"/>
            </w:tcBorders>
            <w:vAlign w:val="center"/>
          </w:tcPr>
          <w:p w14:paraId="562921D8">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患者自理能力等级</w:t>
            </w:r>
          </w:p>
        </w:tc>
        <w:tc>
          <w:tcPr>
            <w:tcW w:w="2023" w:type="dxa"/>
            <w:tcBorders>
              <w:top w:val="single" w:color="auto" w:sz="8" w:space="0"/>
              <w:bottom w:val="single" w:color="auto" w:sz="8" w:space="0"/>
            </w:tcBorders>
            <w:vAlign w:val="center"/>
          </w:tcPr>
          <w:p w14:paraId="030433AA">
            <w:pPr>
              <w:widowControl/>
              <w:autoSpaceDE w:val="0"/>
              <w:autoSpaceDN w:val="0"/>
              <w:adjustRightInd/>
              <w:spacing w:line="240" w:lineRule="auto"/>
              <w:jc w:val="center"/>
              <w:rPr>
                <w:rFonts w:ascii="宋体" w:hAnsi="Times New Roman"/>
                <w:kern w:val="0"/>
                <w:sz w:val="18"/>
                <w:szCs w:val="24"/>
              </w:rPr>
            </w:pPr>
            <w:r>
              <w:rPr>
                <w:rFonts w:ascii="宋体" w:hAnsi="Times New Roman"/>
                <w:kern w:val="0"/>
                <w:sz w:val="18"/>
                <w:szCs w:val="24"/>
              </w:rPr>
              <w:t>Barthel</w:t>
            </w:r>
            <w:r>
              <w:rPr>
                <w:rFonts w:hint="eastAsia" w:ascii="宋体" w:hAnsi="Times New Roman"/>
                <w:kern w:val="0"/>
                <w:sz w:val="18"/>
                <w:szCs w:val="24"/>
              </w:rPr>
              <w:t>指数评定总分</w:t>
            </w:r>
          </w:p>
        </w:tc>
        <w:tc>
          <w:tcPr>
            <w:tcW w:w="1912" w:type="dxa"/>
            <w:tcBorders>
              <w:top w:val="single" w:color="auto" w:sz="8" w:space="0"/>
              <w:bottom w:val="single" w:color="auto" w:sz="8" w:space="0"/>
            </w:tcBorders>
            <w:vAlign w:val="center"/>
          </w:tcPr>
          <w:p w14:paraId="533EAC37">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需要照护程度</w:t>
            </w:r>
          </w:p>
        </w:tc>
        <w:tc>
          <w:tcPr>
            <w:tcW w:w="1540" w:type="dxa"/>
            <w:tcBorders>
              <w:top w:val="single" w:color="auto" w:sz="8" w:space="0"/>
              <w:bottom w:val="single" w:color="auto" w:sz="8" w:space="0"/>
            </w:tcBorders>
            <w:vAlign w:val="center"/>
          </w:tcPr>
          <w:p w14:paraId="2661A150">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患者陪护等级</w:t>
            </w:r>
          </w:p>
        </w:tc>
        <w:tc>
          <w:tcPr>
            <w:tcW w:w="2245" w:type="dxa"/>
            <w:tcBorders>
              <w:top w:val="single" w:color="auto" w:sz="8" w:space="0"/>
              <w:bottom w:val="single" w:color="auto" w:sz="8" w:space="0"/>
            </w:tcBorders>
            <w:vAlign w:val="center"/>
          </w:tcPr>
          <w:p w14:paraId="0A7630B0">
            <w:pPr>
              <w:widowControl/>
              <w:autoSpaceDE w:val="0"/>
              <w:autoSpaceDN w:val="0"/>
              <w:adjustRightInd/>
              <w:spacing w:line="240" w:lineRule="auto"/>
              <w:jc w:val="center"/>
              <w:rPr>
                <w:rFonts w:ascii="宋体" w:hAnsi="Times New Roman"/>
                <w:kern w:val="0"/>
                <w:sz w:val="18"/>
                <w:szCs w:val="24"/>
              </w:rPr>
            </w:pPr>
            <w:r>
              <w:rPr>
                <w:rFonts w:ascii="宋体" w:hAnsi="Times New Roman"/>
                <w:kern w:val="0"/>
                <w:sz w:val="18"/>
                <w:szCs w:val="24"/>
              </w:rPr>
              <w:t>1</w:t>
            </w:r>
            <w:r>
              <w:rPr>
                <w:rFonts w:hint="eastAsia" w:ascii="宋体" w:hAnsi="Times New Roman"/>
                <w:kern w:val="0"/>
                <w:sz w:val="18"/>
                <w:szCs w:val="24"/>
              </w:rPr>
              <w:t>名医疗护理员陪护患者人数</w:t>
            </w:r>
          </w:p>
        </w:tc>
      </w:tr>
      <w:tr w14:paraId="63E2B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6" w:hRule="atLeast"/>
          <w:jc w:val="center"/>
        </w:trPr>
        <w:tc>
          <w:tcPr>
            <w:tcW w:w="1913" w:type="dxa"/>
            <w:tcBorders>
              <w:top w:val="single" w:color="auto" w:sz="8" w:space="0"/>
            </w:tcBorders>
            <w:vAlign w:val="center"/>
          </w:tcPr>
          <w:p w14:paraId="0FC08FA3">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重度依赖</w:t>
            </w:r>
          </w:p>
        </w:tc>
        <w:tc>
          <w:tcPr>
            <w:tcW w:w="2023" w:type="dxa"/>
            <w:tcBorders>
              <w:top w:val="single" w:color="auto" w:sz="8" w:space="0"/>
            </w:tcBorders>
            <w:vAlign w:val="center"/>
          </w:tcPr>
          <w:p w14:paraId="695317E2">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总分</w:t>
            </w:r>
            <w:r>
              <w:rPr>
                <w:rFonts w:hint="eastAsia" w:ascii="宋体" w:hAnsi="宋体"/>
                <w:kern w:val="0"/>
                <w:sz w:val="18"/>
                <w:szCs w:val="24"/>
              </w:rPr>
              <w:t>≤</w:t>
            </w:r>
            <w:r>
              <w:rPr>
                <w:rFonts w:ascii="宋体" w:hAnsi="Times New Roman"/>
                <w:kern w:val="0"/>
                <w:sz w:val="18"/>
                <w:szCs w:val="24"/>
              </w:rPr>
              <w:t>40</w:t>
            </w:r>
            <w:r>
              <w:rPr>
                <w:rFonts w:hint="eastAsia" w:ascii="宋体" w:hAnsi="Times New Roman"/>
                <w:kern w:val="0"/>
                <w:sz w:val="18"/>
                <w:szCs w:val="24"/>
              </w:rPr>
              <w:t>分</w:t>
            </w:r>
          </w:p>
        </w:tc>
        <w:tc>
          <w:tcPr>
            <w:tcW w:w="1912" w:type="dxa"/>
            <w:tcBorders>
              <w:top w:val="single" w:color="auto" w:sz="8" w:space="0"/>
            </w:tcBorders>
            <w:vAlign w:val="center"/>
          </w:tcPr>
          <w:p w14:paraId="33C837BB">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全部需要他人照护</w:t>
            </w:r>
          </w:p>
        </w:tc>
        <w:tc>
          <w:tcPr>
            <w:tcW w:w="1540" w:type="dxa"/>
            <w:tcBorders>
              <w:top w:val="single" w:color="auto" w:sz="8" w:space="0"/>
            </w:tcBorders>
            <w:vAlign w:val="center"/>
          </w:tcPr>
          <w:p w14:paraId="230ED9BA">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特级陪护</w:t>
            </w:r>
          </w:p>
        </w:tc>
        <w:tc>
          <w:tcPr>
            <w:tcW w:w="2245" w:type="dxa"/>
            <w:tcBorders>
              <w:top w:val="single" w:color="auto" w:sz="8" w:space="0"/>
            </w:tcBorders>
            <w:vAlign w:val="center"/>
          </w:tcPr>
          <w:p w14:paraId="0BC3716A">
            <w:pPr>
              <w:widowControl/>
              <w:autoSpaceDE w:val="0"/>
              <w:autoSpaceDN w:val="0"/>
              <w:adjustRightInd/>
              <w:spacing w:line="240" w:lineRule="auto"/>
              <w:jc w:val="center"/>
              <w:rPr>
                <w:rFonts w:ascii="宋体" w:hAnsi="Times New Roman"/>
                <w:kern w:val="0"/>
                <w:sz w:val="18"/>
                <w:szCs w:val="24"/>
              </w:rPr>
            </w:pPr>
            <w:r>
              <w:rPr>
                <w:rFonts w:ascii="宋体" w:hAnsi="Times New Roman"/>
                <w:kern w:val="0"/>
                <w:sz w:val="18"/>
                <w:szCs w:val="24"/>
              </w:rPr>
              <w:t>1</w:t>
            </w:r>
            <w:r>
              <w:rPr>
                <w:rFonts w:hint="eastAsia" w:ascii="宋体" w:hAnsi="Times New Roman"/>
                <w:kern w:val="0"/>
                <w:sz w:val="18"/>
                <w:szCs w:val="24"/>
              </w:rPr>
              <w:t>人</w:t>
            </w:r>
          </w:p>
        </w:tc>
      </w:tr>
      <w:tr w14:paraId="36BAD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6" w:hRule="atLeast"/>
          <w:jc w:val="center"/>
        </w:trPr>
        <w:tc>
          <w:tcPr>
            <w:tcW w:w="1913" w:type="dxa"/>
            <w:vAlign w:val="center"/>
          </w:tcPr>
          <w:p w14:paraId="0B67CEA2">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中度依赖</w:t>
            </w:r>
          </w:p>
        </w:tc>
        <w:tc>
          <w:tcPr>
            <w:tcW w:w="2023" w:type="dxa"/>
            <w:vAlign w:val="center"/>
          </w:tcPr>
          <w:p w14:paraId="286ECD2F">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总分</w:t>
            </w:r>
            <w:r>
              <w:rPr>
                <w:rFonts w:ascii="宋体" w:hAnsi="Times New Roman"/>
                <w:kern w:val="0"/>
                <w:sz w:val="18"/>
                <w:szCs w:val="24"/>
              </w:rPr>
              <w:t>41</w:t>
            </w:r>
            <w:r>
              <w:rPr>
                <w:rFonts w:hint="eastAsia" w:ascii="宋体" w:hAnsi="Times New Roman"/>
                <w:kern w:val="0"/>
                <w:sz w:val="18"/>
                <w:szCs w:val="24"/>
              </w:rPr>
              <w:t>分</w:t>
            </w:r>
            <w:r>
              <w:rPr>
                <w:rFonts w:hint="eastAsia" w:ascii="宋体" w:hAnsi="宋体"/>
                <w:kern w:val="0"/>
                <w:sz w:val="18"/>
                <w:szCs w:val="24"/>
              </w:rPr>
              <w:t>～</w:t>
            </w:r>
            <w:r>
              <w:rPr>
                <w:rFonts w:ascii="宋体" w:hAnsi="Times New Roman"/>
                <w:kern w:val="0"/>
                <w:sz w:val="18"/>
                <w:szCs w:val="24"/>
              </w:rPr>
              <w:t>60</w:t>
            </w:r>
            <w:r>
              <w:rPr>
                <w:rFonts w:hint="eastAsia" w:ascii="宋体" w:hAnsi="Times New Roman"/>
                <w:kern w:val="0"/>
                <w:sz w:val="18"/>
                <w:szCs w:val="24"/>
              </w:rPr>
              <w:t>分</w:t>
            </w:r>
          </w:p>
        </w:tc>
        <w:tc>
          <w:tcPr>
            <w:tcW w:w="1912" w:type="dxa"/>
            <w:vAlign w:val="center"/>
          </w:tcPr>
          <w:p w14:paraId="3DC23D9F">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大部分需要他人照护</w:t>
            </w:r>
          </w:p>
        </w:tc>
        <w:tc>
          <w:tcPr>
            <w:tcW w:w="1540" w:type="dxa"/>
            <w:vAlign w:val="center"/>
          </w:tcPr>
          <w:p w14:paraId="5FC2C36B">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一级陪护</w:t>
            </w:r>
          </w:p>
        </w:tc>
        <w:tc>
          <w:tcPr>
            <w:tcW w:w="2245" w:type="dxa"/>
            <w:vAlign w:val="center"/>
          </w:tcPr>
          <w:p w14:paraId="4DCFC4B9">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患者</w:t>
            </w:r>
            <w:r>
              <w:rPr>
                <w:rFonts w:hint="eastAsia" w:ascii="宋体" w:hAnsi="宋体"/>
                <w:kern w:val="0"/>
                <w:sz w:val="18"/>
                <w:szCs w:val="24"/>
              </w:rPr>
              <w:t>≤</w:t>
            </w:r>
            <w:r>
              <w:rPr>
                <w:rFonts w:ascii="宋体" w:hAnsi="Times New Roman"/>
                <w:kern w:val="0"/>
                <w:sz w:val="18"/>
                <w:szCs w:val="24"/>
              </w:rPr>
              <w:t>2</w:t>
            </w:r>
            <w:r>
              <w:rPr>
                <w:rFonts w:hint="eastAsia" w:ascii="宋体" w:hAnsi="Times New Roman"/>
                <w:kern w:val="0"/>
                <w:sz w:val="18"/>
                <w:szCs w:val="24"/>
              </w:rPr>
              <w:t>人</w:t>
            </w:r>
          </w:p>
        </w:tc>
      </w:tr>
      <w:tr w14:paraId="7149D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6" w:hRule="atLeast"/>
          <w:jc w:val="center"/>
        </w:trPr>
        <w:tc>
          <w:tcPr>
            <w:tcW w:w="1913" w:type="dxa"/>
            <w:vAlign w:val="center"/>
          </w:tcPr>
          <w:p w14:paraId="394188B3">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轻度依赖</w:t>
            </w:r>
          </w:p>
        </w:tc>
        <w:tc>
          <w:tcPr>
            <w:tcW w:w="2023" w:type="dxa"/>
            <w:vAlign w:val="center"/>
          </w:tcPr>
          <w:p w14:paraId="222619F7">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总分</w:t>
            </w:r>
            <w:r>
              <w:rPr>
                <w:rFonts w:ascii="宋体" w:hAnsi="Times New Roman"/>
                <w:kern w:val="0"/>
                <w:sz w:val="18"/>
                <w:szCs w:val="24"/>
              </w:rPr>
              <w:t>61</w:t>
            </w:r>
            <w:r>
              <w:rPr>
                <w:rFonts w:hint="eastAsia" w:ascii="宋体" w:hAnsi="Times New Roman"/>
                <w:kern w:val="0"/>
                <w:sz w:val="18"/>
                <w:szCs w:val="24"/>
              </w:rPr>
              <w:t>分</w:t>
            </w:r>
            <w:r>
              <w:rPr>
                <w:rFonts w:hint="eastAsia" w:ascii="宋体" w:hAnsi="宋体"/>
                <w:kern w:val="0"/>
                <w:sz w:val="18"/>
                <w:szCs w:val="24"/>
              </w:rPr>
              <w:t>～</w:t>
            </w:r>
            <w:r>
              <w:rPr>
                <w:rFonts w:ascii="宋体" w:hAnsi="Times New Roman"/>
                <w:kern w:val="0"/>
                <w:sz w:val="18"/>
                <w:szCs w:val="24"/>
              </w:rPr>
              <w:t>99</w:t>
            </w:r>
            <w:r>
              <w:rPr>
                <w:rFonts w:hint="eastAsia" w:ascii="宋体" w:hAnsi="Times New Roman"/>
                <w:kern w:val="0"/>
                <w:sz w:val="18"/>
                <w:szCs w:val="24"/>
              </w:rPr>
              <w:t>分</w:t>
            </w:r>
          </w:p>
        </w:tc>
        <w:tc>
          <w:tcPr>
            <w:tcW w:w="1912" w:type="dxa"/>
            <w:vAlign w:val="center"/>
          </w:tcPr>
          <w:p w14:paraId="2ABED187">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少部分需要他人照护</w:t>
            </w:r>
          </w:p>
        </w:tc>
        <w:tc>
          <w:tcPr>
            <w:tcW w:w="1540" w:type="dxa"/>
            <w:vAlign w:val="center"/>
          </w:tcPr>
          <w:p w14:paraId="7578F5BE">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二级陪护</w:t>
            </w:r>
          </w:p>
        </w:tc>
        <w:tc>
          <w:tcPr>
            <w:tcW w:w="2245" w:type="dxa"/>
            <w:vAlign w:val="center"/>
          </w:tcPr>
          <w:p w14:paraId="3C7861BA">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患者</w:t>
            </w:r>
            <w:r>
              <w:rPr>
                <w:rFonts w:hint="eastAsia" w:ascii="宋体" w:hAnsi="宋体"/>
                <w:kern w:val="0"/>
                <w:sz w:val="18"/>
                <w:szCs w:val="24"/>
              </w:rPr>
              <w:t>≥</w:t>
            </w:r>
            <w:r>
              <w:rPr>
                <w:rFonts w:ascii="宋体" w:hAnsi="Times New Roman"/>
                <w:kern w:val="0"/>
                <w:sz w:val="18"/>
                <w:szCs w:val="24"/>
              </w:rPr>
              <w:t>2</w:t>
            </w:r>
            <w:r>
              <w:rPr>
                <w:rFonts w:hint="eastAsia" w:ascii="宋体" w:hAnsi="Times New Roman"/>
                <w:kern w:val="0"/>
                <w:sz w:val="18"/>
                <w:szCs w:val="24"/>
              </w:rPr>
              <w:t>人</w:t>
            </w:r>
          </w:p>
        </w:tc>
      </w:tr>
      <w:tr w14:paraId="10C5E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26" w:hRule="atLeast"/>
          <w:jc w:val="center"/>
        </w:trPr>
        <w:tc>
          <w:tcPr>
            <w:tcW w:w="1913" w:type="dxa"/>
            <w:vAlign w:val="center"/>
          </w:tcPr>
          <w:p w14:paraId="39FE142B">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无依赖</w:t>
            </w:r>
          </w:p>
        </w:tc>
        <w:tc>
          <w:tcPr>
            <w:tcW w:w="2023" w:type="dxa"/>
            <w:vAlign w:val="center"/>
          </w:tcPr>
          <w:p w14:paraId="63587C94">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总分</w:t>
            </w:r>
            <w:r>
              <w:rPr>
                <w:rFonts w:ascii="宋体" w:hAnsi="Times New Roman"/>
                <w:kern w:val="0"/>
                <w:sz w:val="18"/>
                <w:szCs w:val="24"/>
              </w:rPr>
              <w:t>100</w:t>
            </w:r>
            <w:r>
              <w:rPr>
                <w:rFonts w:hint="eastAsia" w:ascii="宋体" w:hAnsi="Times New Roman"/>
                <w:kern w:val="0"/>
                <w:sz w:val="18"/>
                <w:szCs w:val="24"/>
              </w:rPr>
              <w:t>分</w:t>
            </w:r>
          </w:p>
        </w:tc>
        <w:tc>
          <w:tcPr>
            <w:tcW w:w="1912" w:type="dxa"/>
            <w:vAlign w:val="center"/>
          </w:tcPr>
          <w:p w14:paraId="54B01421">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无需要他人照护</w:t>
            </w:r>
          </w:p>
        </w:tc>
        <w:tc>
          <w:tcPr>
            <w:tcW w:w="1540" w:type="dxa"/>
            <w:vAlign w:val="center"/>
          </w:tcPr>
          <w:p w14:paraId="02011214">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三级陪护</w:t>
            </w:r>
          </w:p>
        </w:tc>
        <w:tc>
          <w:tcPr>
            <w:tcW w:w="2245" w:type="dxa"/>
            <w:vAlign w:val="center"/>
          </w:tcPr>
          <w:p w14:paraId="7E1F45CE">
            <w:pPr>
              <w:widowControl/>
              <w:autoSpaceDE w:val="0"/>
              <w:autoSpaceDN w:val="0"/>
              <w:adjustRightInd/>
              <w:spacing w:line="240" w:lineRule="auto"/>
              <w:jc w:val="center"/>
              <w:rPr>
                <w:rFonts w:ascii="宋体" w:hAnsi="Times New Roman"/>
                <w:kern w:val="0"/>
                <w:sz w:val="18"/>
                <w:szCs w:val="24"/>
              </w:rPr>
            </w:pPr>
            <w:r>
              <w:rPr>
                <w:rFonts w:hint="eastAsia" w:ascii="宋体" w:hAnsi="Times New Roman"/>
                <w:kern w:val="0"/>
                <w:sz w:val="18"/>
                <w:szCs w:val="24"/>
              </w:rPr>
              <w:t>-</w:t>
            </w:r>
          </w:p>
        </w:tc>
      </w:tr>
      <w:tr w14:paraId="44E08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586" w:hRule="atLeast"/>
          <w:jc w:val="center"/>
        </w:trPr>
        <w:tc>
          <w:tcPr>
            <w:tcW w:w="9636" w:type="dxa"/>
            <w:gridSpan w:val="5"/>
            <w:tcBorders>
              <w:top w:val="single" w:color="auto" w:sz="8" w:space="0"/>
              <w:bottom w:val="single" w:color="auto" w:sz="8" w:space="0"/>
            </w:tcBorders>
          </w:tcPr>
          <w:p w14:paraId="133DA7D4">
            <w:pPr>
              <w:numPr>
                <w:ilvl w:val="0"/>
                <w:numId w:val="27"/>
              </w:numPr>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本表不包括医护对陪护的特殊要求。</w:t>
            </w:r>
          </w:p>
          <w:p w14:paraId="3F5C3C25">
            <w:pPr>
              <w:numPr>
                <w:ilvl w:val="0"/>
                <w:numId w:val="27"/>
              </w:numPr>
              <w:autoSpaceDE w:val="0"/>
              <w:autoSpaceDN w:val="0"/>
              <w:adjustRightInd/>
              <w:spacing w:line="240" w:lineRule="auto"/>
              <w:rPr>
                <w:rFonts w:ascii="宋体" w:hAnsi="Times New Roman"/>
                <w:kern w:val="0"/>
                <w:sz w:val="18"/>
                <w:szCs w:val="18"/>
              </w:rPr>
            </w:pPr>
            <w:r>
              <w:rPr>
                <w:rFonts w:hint="eastAsia" w:ascii="宋体" w:hAnsi="Times New Roman"/>
                <w:kern w:val="0"/>
                <w:sz w:val="18"/>
                <w:szCs w:val="18"/>
              </w:rPr>
              <w:t>本表不包括特约一对一的专门陪护。</w:t>
            </w:r>
          </w:p>
          <w:p w14:paraId="507C1FE5">
            <w:pPr>
              <w:numPr>
                <w:ilvl w:val="0"/>
                <w:numId w:val="27"/>
              </w:numPr>
              <w:autoSpaceDE w:val="0"/>
              <w:autoSpaceDN w:val="0"/>
              <w:adjustRightInd/>
              <w:spacing w:line="240" w:lineRule="auto"/>
              <w:rPr>
                <w:rFonts w:ascii="宋体" w:hAnsi="Times New Roman"/>
                <w:kern w:val="0"/>
                <w:sz w:val="18"/>
                <w:szCs w:val="18"/>
              </w:rPr>
            </w:pPr>
            <w:r>
              <w:rPr>
                <w:rFonts w:ascii="宋体" w:hAnsi="Times New Roman"/>
                <w:kern w:val="0"/>
                <w:sz w:val="18"/>
                <w:szCs w:val="18"/>
              </w:rPr>
              <w:t>Barthel</w:t>
            </w:r>
            <w:r>
              <w:rPr>
                <w:rFonts w:hint="eastAsia" w:ascii="宋体" w:hAnsi="Times New Roman"/>
                <w:kern w:val="0"/>
                <w:sz w:val="18"/>
                <w:szCs w:val="18"/>
              </w:rPr>
              <w:t>指数评定可参考附录</w:t>
            </w:r>
            <w:r>
              <w:rPr>
                <w:rFonts w:ascii="宋体" w:hAnsi="Times New Roman"/>
                <w:kern w:val="0"/>
                <w:sz w:val="18"/>
                <w:szCs w:val="18"/>
              </w:rPr>
              <w:t>B</w:t>
            </w:r>
            <w:r>
              <w:rPr>
                <w:rFonts w:hint="eastAsia" w:ascii="宋体" w:hAnsi="Times New Roman"/>
                <w:kern w:val="0"/>
                <w:sz w:val="18"/>
                <w:szCs w:val="18"/>
              </w:rPr>
              <w:t>执行。</w:t>
            </w:r>
          </w:p>
        </w:tc>
      </w:tr>
    </w:tbl>
    <w:p w14:paraId="74A16FC5">
      <w:pPr>
        <w:pStyle w:val="164"/>
      </w:pPr>
      <w:r>
        <w:rPr>
          <w:rFonts w:hint="eastAsia"/>
        </w:rPr>
        <w:t>为婴幼儿、临终患者、精神疾病患者等提供的陪护应按医生或护理、感染部门的要求执行。</w:t>
      </w:r>
    </w:p>
    <w:p w14:paraId="7049C2F6">
      <w:pPr>
        <w:pStyle w:val="164"/>
      </w:pPr>
      <w:r>
        <w:rPr>
          <w:rFonts w:hint="eastAsia"/>
        </w:rPr>
        <w:t>传染或疑似传染性疾病、多重耐药菌等患者非特殊需求不应提供医院陪护服务。</w:t>
      </w:r>
    </w:p>
    <w:p w14:paraId="58C954DF">
      <w:pPr>
        <w:pStyle w:val="106"/>
        <w:spacing w:before="240" w:after="240"/>
      </w:pPr>
      <w:bookmarkStart w:id="64" w:name="_Toc211526374"/>
      <w:bookmarkStart w:id="65" w:name="_Toc211527032"/>
      <w:r>
        <w:rPr>
          <w:rFonts w:hint="eastAsia"/>
        </w:rPr>
        <w:t>服务</w:t>
      </w:r>
      <w:bookmarkEnd w:id="63"/>
      <w:r>
        <w:rPr>
          <w:rFonts w:hint="eastAsia"/>
        </w:rPr>
        <w:t>要求</w:t>
      </w:r>
      <w:bookmarkEnd w:id="64"/>
      <w:bookmarkEnd w:id="65"/>
    </w:p>
    <w:p w14:paraId="3EC9D271">
      <w:pPr>
        <w:pStyle w:val="107"/>
        <w:spacing w:before="120" w:after="120"/>
      </w:pPr>
      <w:bookmarkStart w:id="66" w:name="_Toc211526375"/>
      <w:bookmarkStart w:id="67" w:name="_Toc208775442"/>
      <w:bookmarkStart w:id="68" w:name="_Toc211527033"/>
      <w:r>
        <w:rPr>
          <w:rFonts w:hint="eastAsia"/>
        </w:rPr>
        <w:t>生活照护</w:t>
      </w:r>
      <w:bookmarkEnd w:id="66"/>
      <w:bookmarkEnd w:id="67"/>
      <w:bookmarkEnd w:id="68"/>
    </w:p>
    <w:p w14:paraId="5F9B1450">
      <w:pPr>
        <w:pStyle w:val="67"/>
        <w:spacing w:before="120" w:after="120"/>
      </w:pPr>
      <w:r>
        <w:rPr>
          <w:rFonts w:hint="eastAsia"/>
        </w:rPr>
        <w:t>清洁照护</w:t>
      </w:r>
    </w:p>
    <w:p w14:paraId="5B67240B">
      <w:pPr>
        <w:pStyle w:val="166"/>
      </w:pPr>
      <w:r>
        <w:rPr>
          <w:rFonts w:hint="eastAsia"/>
        </w:rPr>
        <w:t>清洁照护服务应包括：</w:t>
      </w:r>
    </w:p>
    <w:p w14:paraId="1EDE91D0">
      <w:pPr>
        <w:pStyle w:val="176"/>
        <w:numPr>
          <w:ilvl w:val="0"/>
          <w:numId w:val="33"/>
        </w:numPr>
      </w:pPr>
      <w:r>
        <w:rPr>
          <w:rFonts w:hint="eastAsia"/>
        </w:rPr>
        <w:t>整理病房环境,定时通风；</w:t>
      </w:r>
    </w:p>
    <w:p w14:paraId="5B8CADE8">
      <w:pPr>
        <w:pStyle w:val="176"/>
      </w:pPr>
      <w:r>
        <w:rPr>
          <w:rFonts w:hint="eastAsia"/>
        </w:rPr>
        <w:t>协助整理床铺,按需更换床上用品；</w:t>
      </w:r>
    </w:p>
    <w:p w14:paraId="3EF872DA">
      <w:pPr>
        <w:pStyle w:val="176"/>
      </w:pPr>
      <w:r>
        <w:rPr>
          <w:rFonts w:hint="eastAsia"/>
        </w:rPr>
        <w:t>协助晨晚间护理,包括梳头,清洁面部、口腔、会阴部和手足部；</w:t>
      </w:r>
    </w:p>
    <w:p w14:paraId="5C5AD94E">
      <w:pPr>
        <w:pStyle w:val="176"/>
      </w:pPr>
      <w:r>
        <w:rPr>
          <w:rFonts w:hint="eastAsia"/>
        </w:rPr>
        <w:t>协助洗头、沐浴或擦浴；</w:t>
      </w:r>
    </w:p>
    <w:p w14:paraId="244F6373">
      <w:pPr>
        <w:pStyle w:val="176"/>
      </w:pPr>
      <w:r>
        <w:rPr>
          <w:rFonts w:hint="eastAsia"/>
        </w:rPr>
        <w:t>协助更换衣物；</w:t>
      </w:r>
    </w:p>
    <w:p w14:paraId="14A6EBA7">
      <w:pPr>
        <w:pStyle w:val="176"/>
      </w:pPr>
      <w:r>
        <w:rPr>
          <w:rFonts w:hint="eastAsia"/>
        </w:rPr>
        <w:t>协助清洁活动义齿,修剪指(趾)甲。</w:t>
      </w:r>
    </w:p>
    <w:p w14:paraId="62AB13F9">
      <w:pPr>
        <w:pStyle w:val="166"/>
      </w:pPr>
      <w:r>
        <w:rPr>
          <w:rFonts w:hint="eastAsia"/>
        </w:rPr>
        <w:t>服务过程中应观察患者反应，出现异常情况及时报告医务人员。</w:t>
      </w:r>
    </w:p>
    <w:p w14:paraId="582A1B09">
      <w:pPr>
        <w:pStyle w:val="166"/>
      </w:pPr>
      <w:r>
        <w:rPr>
          <w:rFonts w:hint="eastAsia"/>
        </w:rPr>
        <w:t>操作应动作轻柔，注意保护患者隐私和安全，并注意保暖。</w:t>
      </w:r>
    </w:p>
    <w:p w14:paraId="625C1178">
      <w:pPr>
        <w:pStyle w:val="67"/>
        <w:spacing w:before="120" w:after="120"/>
      </w:pPr>
      <w:r>
        <w:rPr>
          <w:rFonts w:hint="eastAsia"/>
        </w:rPr>
        <w:t>饮食照护</w:t>
      </w:r>
    </w:p>
    <w:p w14:paraId="01170356">
      <w:pPr>
        <w:pStyle w:val="166"/>
      </w:pPr>
      <w:r>
        <w:rPr>
          <w:rFonts w:hint="eastAsia"/>
        </w:rPr>
        <w:t>饮食照护服务应包括：</w:t>
      </w:r>
    </w:p>
    <w:p w14:paraId="6AE7AC71">
      <w:pPr>
        <w:pStyle w:val="176"/>
        <w:numPr>
          <w:ilvl w:val="0"/>
          <w:numId w:val="34"/>
        </w:numPr>
      </w:pPr>
      <w:r>
        <w:rPr>
          <w:rFonts w:hint="eastAsia"/>
        </w:rPr>
        <w:t>协助餐前洗手、准备就餐环境；</w:t>
      </w:r>
    </w:p>
    <w:p w14:paraId="54CF5FB7">
      <w:pPr>
        <w:pStyle w:val="176"/>
      </w:pPr>
      <w:r>
        <w:rPr>
          <w:rFonts w:hint="eastAsia"/>
        </w:rPr>
        <w:t>协助准备进食所需用品；</w:t>
      </w:r>
    </w:p>
    <w:p w14:paraId="3297CDD1">
      <w:pPr>
        <w:pStyle w:val="176"/>
      </w:pPr>
      <w:r>
        <w:rPr>
          <w:rFonts w:hint="eastAsia"/>
        </w:rPr>
        <w:t>协助摆放适当进食(水)体位；</w:t>
      </w:r>
    </w:p>
    <w:p w14:paraId="04BF98B5">
      <w:pPr>
        <w:pStyle w:val="176"/>
      </w:pPr>
      <w:r>
        <w:rPr>
          <w:rFonts w:hint="eastAsia"/>
        </w:rPr>
        <w:t>协助进食(水)；</w:t>
      </w:r>
    </w:p>
    <w:p w14:paraId="4551F9B2">
      <w:pPr>
        <w:pStyle w:val="176"/>
      </w:pPr>
      <w:r>
        <w:rPr>
          <w:rFonts w:hint="eastAsia"/>
        </w:rPr>
        <w:t>协助餐后清洁及整理。</w:t>
      </w:r>
    </w:p>
    <w:p w14:paraId="74E5065D">
      <w:pPr>
        <w:pStyle w:val="166"/>
      </w:pPr>
      <w:r>
        <w:rPr>
          <w:rFonts w:hint="eastAsia"/>
        </w:rPr>
        <w:t>患者进食(水)前，应与医务人员确认患者饮食有无禁忌。</w:t>
      </w:r>
    </w:p>
    <w:p w14:paraId="113222C9">
      <w:pPr>
        <w:pStyle w:val="166"/>
      </w:pPr>
      <w:r>
        <w:rPr>
          <w:rFonts w:hint="eastAsia"/>
        </w:rPr>
        <w:t>应注意食物(水)的温度、进食(水)的速度和量。</w:t>
      </w:r>
    </w:p>
    <w:p w14:paraId="4B6D3C61">
      <w:pPr>
        <w:pStyle w:val="166"/>
      </w:pPr>
      <w:r>
        <w:rPr>
          <w:rFonts w:hint="eastAsia"/>
        </w:rPr>
        <w:t>患者出现吞咽困难、呛咳、恶心、呕吐等情况,应及时报告医务人员。</w:t>
      </w:r>
    </w:p>
    <w:p w14:paraId="38B23A64">
      <w:pPr>
        <w:pStyle w:val="67"/>
        <w:spacing w:before="120" w:after="120"/>
      </w:pPr>
      <w:r>
        <w:rPr>
          <w:rFonts w:hint="eastAsia"/>
        </w:rPr>
        <w:t>睡眠照护</w:t>
      </w:r>
    </w:p>
    <w:p w14:paraId="2876F069">
      <w:pPr>
        <w:pStyle w:val="166"/>
      </w:pPr>
      <w:r>
        <w:rPr>
          <w:rFonts w:hint="eastAsia"/>
        </w:rPr>
        <w:t>睡眠照护服务应包括：</w:t>
      </w:r>
    </w:p>
    <w:p w14:paraId="75F1BD10">
      <w:pPr>
        <w:pStyle w:val="176"/>
        <w:numPr>
          <w:ilvl w:val="0"/>
          <w:numId w:val="35"/>
        </w:numPr>
      </w:pPr>
      <w:r>
        <w:rPr>
          <w:rFonts w:hint="eastAsia"/>
        </w:rPr>
        <w:t>协助做好睡前准备,拉好床档；</w:t>
      </w:r>
    </w:p>
    <w:p w14:paraId="55EF159C">
      <w:pPr>
        <w:pStyle w:val="176"/>
      </w:pPr>
      <w:r>
        <w:rPr>
          <w:rFonts w:hint="eastAsia"/>
        </w:rPr>
        <w:t>协助调整适当的睡眠体位；</w:t>
      </w:r>
    </w:p>
    <w:p w14:paraId="501CD2D2">
      <w:pPr>
        <w:pStyle w:val="176"/>
      </w:pPr>
      <w:r>
        <w:rPr>
          <w:rFonts w:hint="eastAsia"/>
        </w:rPr>
        <w:t>协助盖好被服,观察患者入睡情况。</w:t>
      </w:r>
    </w:p>
    <w:p w14:paraId="7CD09143">
      <w:pPr>
        <w:pStyle w:val="166"/>
      </w:pPr>
      <w:r>
        <w:rPr>
          <w:rFonts w:hint="eastAsia"/>
        </w:rPr>
        <w:t>应注意观察患者的骨折部位、伤口、皮肤破溃处是否受压，以及患者的各种管路是否打折、受压等。</w:t>
      </w:r>
    </w:p>
    <w:p w14:paraId="6861A269">
      <w:pPr>
        <w:pStyle w:val="166"/>
      </w:pPr>
      <w:r>
        <w:rPr>
          <w:rFonts w:hint="eastAsia"/>
        </w:rPr>
        <w:t>应注意观察患者睡眠过程中是否出现呼吸不畅、失眠等情况，如有及时报告医务人员。</w:t>
      </w:r>
    </w:p>
    <w:p w14:paraId="04A085B7">
      <w:pPr>
        <w:pStyle w:val="67"/>
        <w:spacing w:before="120" w:after="120"/>
      </w:pPr>
      <w:r>
        <w:rPr>
          <w:rFonts w:hint="eastAsia"/>
        </w:rPr>
        <w:t>排泄照护</w:t>
      </w:r>
    </w:p>
    <w:p w14:paraId="1D3682B7">
      <w:pPr>
        <w:pStyle w:val="166"/>
      </w:pPr>
      <w:r>
        <w:rPr>
          <w:rFonts w:hint="eastAsia"/>
        </w:rPr>
        <w:t>排泄照护服务应包括：</w:t>
      </w:r>
    </w:p>
    <w:p w14:paraId="4F417A06">
      <w:pPr>
        <w:pStyle w:val="176"/>
        <w:numPr>
          <w:ilvl w:val="0"/>
          <w:numId w:val="36"/>
        </w:numPr>
      </w:pPr>
      <w:r>
        <w:rPr>
          <w:rFonts w:hint="eastAsia"/>
        </w:rPr>
        <w:t>协助选择适当的如厕方式,并完成如厕；</w:t>
      </w:r>
    </w:p>
    <w:p w14:paraId="1DF32654">
      <w:pPr>
        <w:pStyle w:val="176"/>
      </w:pPr>
      <w:r>
        <w:rPr>
          <w:rFonts w:hint="eastAsia"/>
        </w:rPr>
        <w:t>协助床上使用便盆或尿壶；</w:t>
      </w:r>
    </w:p>
    <w:p w14:paraId="14121872">
      <w:pPr>
        <w:pStyle w:val="176"/>
      </w:pPr>
      <w:r>
        <w:rPr>
          <w:rFonts w:hint="eastAsia"/>
        </w:rPr>
        <w:t>协助便后清洁,按需更换医用保护垫等用品；</w:t>
      </w:r>
    </w:p>
    <w:p w14:paraId="15407C2C">
      <w:pPr>
        <w:pStyle w:val="176"/>
      </w:pPr>
      <w:r>
        <w:rPr>
          <w:rFonts w:hint="eastAsia"/>
        </w:rPr>
        <w:t>必要时协助留取大小便标本；</w:t>
      </w:r>
    </w:p>
    <w:p w14:paraId="65E864A5">
      <w:pPr>
        <w:pStyle w:val="176"/>
      </w:pPr>
      <w:r>
        <w:rPr>
          <w:rFonts w:hint="eastAsia"/>
        </w:rPr>
        <w:t>协助观察会阴、肛周等皮肤是否出现发红、破溃等情况。</w:t>
      </w:r>
    </w:p>
    <w:p w14:paraId="1F6A04C8">
      <w:pPr>
        <w:pStyle w:val="166"/>
      </w:pPr>
      <w:r>
        <w:rPr>
          <w:rFonts w:hint="eastAsia"/>
        </w:rPr>
        <w:t>应注意患者排泄习惯,帮助其适应住院期间的排泄方式。</w:t>
      </w:r>
    </w:p>
    <w:p w14:paraId="41462347">
      <w:pPr>
        <w:pStyle w:val="166"/>
      </w:pPr>
      <w:r>
        <w:rPr>
          <w:rFonts w:hint="eastAsia"/>
        </w:rPr>
        <w:t>如厕过程中应保护患者隐私，关注其平衡能力及稳定性，注意安全。</w:t>
      </w:r>
    </w:p>
    <w:p w14:paraId="3AC44498">
      <w:pPr>
        <w:pStyle w:val="166"/>
      </w:pPr>
      <w:r>
        <w:rPr>
          <w:rFonts w:hint="eastAsia"/>
        </w:rPr>
        <w:t>如厕过程中患者如有不适或出现跌倒、管路滑脱等情况，应及时报告医务人员。</w:t>
      </w:r>
    </w:p>
    <w:p w14:paraId="168840FB">
      <w:pPr>
        <w:pStyle w:val="107"/>
        <w:spacing w:before="120" w:after="120"/>
      </w:pPr>
      <w:bookmarkStart w:id="69" w:name="_Toc211527034"/>
      <w:bookmarkStart w:id="70" w:name="_Toc211526376"/>
      <w:r>
        <w:rPr>
          <w:rFonts w:hint="eastAsia"/>
        </w:rPr>
        <w:t>基本照护</w:t>
      </w:r>
      <w:bookmarkEnd w:id="69"/>
      <w:bookmarkEnd w:id="70"/>
    </w:p>
    <w:p w14:paraId="043194C9">
      <w:pPr>
        <w:pStyle w:val="67"/>
        <w:spacing w:before="120" w:after="120"/>
      </w:pPr>
      <w:r>
        <w:rPr>
          <w:rFonts w:hint="eastAsia"/>
        </w:rPr>
        <w:t>观察与测量</w:t>
      </w:r>
    </w:p>
    <w:p w14:paraId="7D258DF3">
      <w:pPr>
        <w:widowControl/>
        <w:autoSpaceDE w:val="0"/>
        <w:autoSpaceDN w:val="0"/>
        <w:adjustRightInd/>
        <w:spacing w:line="240" w:lineRule="auto"/>
        <w:ind w:firstLine="420" w:firstLineChars="200"/>
        <w:rPr>
          <w:rFonts w:ascii="宋体" w:hAnsi="Times New Roman"/>
          <w:kern w:val="0"/>
          <w:szCs w:val="24"/>
        </w:rPr>
      </w:pPr>
      <w:r>
        <w:rPr>
          <w:rFonts w:hint="eastAsia" w:ascii="宋体" w:hAnsi="Times New Roman"/>
          <w:kern w:val="0"/>
          <w:szCs w:val="24"/>
        </w:rPr>
        <w:t>患者病情观察与测量，应包括：</w:t>
      </w:r>
    </w:p>
    <w:p w14:paraId="24C3A68E">
      <w:pPr>
        <w:pStyle w:val="176"/>
        <w:numPr>
          <w:ilvl w:val="0"/>
          <w:numId w:val="37"/>
        </w:numPr>
      </w:pPr>
      <w:r>
        <w:rPr>
          <w:rFonts w:hint="eastAsia"/>
        </w:rPr>
        <w:t>根据医护的要求，随时观察患者疼痛感受、呼吸情况、意识状态、体温和睡眠等；</w:t>
      </w:r>
    </w:p>
    <w:p w14:paraId="00D9520F">
      <w:pPr>
        <w:pStyle w:val="176"/>
      </w:pPr>
      <w:r>
        <w:rPr>
          <w:rFonts w:hint="eastAsia"/>
        </w:rPr>
        <w:t>根据医护指导，关注床边监护设备血压、心率、氧饱和度等动态；</w:t>
      </w:r>
    </w:p>
    <w:p w14:paraId="2C2DACF7">
      <w:pPr>
        <w:pStyle w:val="176"/>
      </w:pPr>
      <w:r>
        <w:rPr>
          <w:rFonts w:hint="eastAsia"/>
        </w:rPr>
        <w:t>勤于饮食、用药前后的患者状况观察；</w:t>
      </w:r>
    </w:p>
    <w:p w14:paraId="6F515D51">
      <w:pPr>
        <w:pStyle w:val="176"/>
      </w:pPr>
      <w:r>
        <w:rPr>
          <w:rFonts w:hint="eastAsia"/>
        </w:rPr>
        <w:t>伤口、创面（可见的）愈合情况查看；</w:t>
      </w:r>
    </w:p>
    <w:p w14:paraId="1F75CCC0">
      <w:pPr>
        <w:pStyle w:val="176"/>
      </w:pPr>
      <w:r>
        <w:rPr>
          <w:rFonts w:hint="eastAsia"/>
        </w:rPr>
        <w:t>记录排便量、颜色，痰液量及颜色；</w:t>
      </w:r>
    </w:p>
    <w:p w14:paraId="053C953B">
      <w:pPr>
        <w:pStyle w:val="176"/>
      </w:pPr>
      <w:r>
        <w:rPr>
          <w:rFonts w:hint="eastAsia"/>
        </w:rPr>
        <w:t>患者自主动作，如讲话、身体</w:t>
      </w:r>
      <w:r>
        <w:rPr>
          <w:rFonts w:hint="eastAsia"/>
          <w:lang w:eastAsia="zh-CN"/>
        </w:rPr>
        <w:t>舒展</w:t>
      </w:r>
      <w:r>
        <w:rPr>
          <w:rFonts w:hint="eastAsia"/>
        </w:rPr>
        <w:t>、床上翻身、起坐、下床行走等状态。</w:t>
      </w:r>
    </w:p>
    <w:p w14:paraId="0035A3BF">
      <w:pPr>
        <w:pStyle w:val="67"/>
        <w:spacing w:before="120" w:after="120"/>
      </w:pPr>
      <w:r>
        <w:rPr>
          <w:rFonts w:hint="eastAsia"/>
        </w:rPr>
        <w:t>移动照护</w:t>
      </w:r>
    </w:p>
    <w:p w14:paraId="24D7896A">
      <w:pPr>
        <w:pStyle w:val="166"/>
      </w:pPr>
      <w:r>
        <w:rPr>
          <w:rFonts w:hint="eastAsia"/>
        </w:rPr>
        <w:t>移动照护服务应包括：</w:t>
      </w:r>
    </w:p>
    <w:p w14:paraId="7BBF75BB">
      <w:pPr>
        <w:pStyle w:val="176"/>
        <w:numPr>
          <w:ilvl w:val="0"/>
          <w:numId w:val="38"/>
        </w:numPr>
      </w:pPr>
      <w:r>
        <w:rPr>
          <w:rFonts w:hint="eastAsia"/>
        </w:rPr>
        <w:t>协助采取合适体位并定时变换；</w:t>
      </w:r>
    </w:p>
    <w:p w14:paraId="7B14876F">
      <w:pPr>
        <w:pStyle w:val="176"/>
      </w:pPr>
      <w:r>
        <w:rPr>
          <w:rFonts w:hint="eastAsia"/>
        </w:rPr>
        <w:t>协助床上移动；</w:t>
      </w:r>
    </w:p>
    <w:p w14:paraId="5D9C9AF1">
      <w:pPr>
        <w:pStyle w:val="176"/>
      </w:pPr>
      <w:r>
        <w:rPr>
          <w:rFonts w:hint="eastAsia"/>
        </w:rPr>
        <w:t>协助肢体主动或被动活动；</w:t>
      </w:r>
    </w:p>
    <w:p w14:paraId="5BF105DC">
      <w:pPr>
        <w:pStyle w:val="176"/>
      </w:pPr>
      <w:r>
        <w:rPr>
          <w:rFonts w:hint="eastAsia"/>
        </w:rPr>
        <w:t>协助使用平车、轮椅等工具移动患者；</w:t>
      </w:r>
    </w:p>
    <w:p w14:paraId="487AC1DB">
      <w:pPr>
        <w:pStyle w:val="176"/>
      </w:pPr>
      <w:r>
        <w:rPr>
          <w:rFonts w:hint="eastAsia"/>
        </w:rPr>
        <w:t>协助上下床活动。</w:t>
      </w:r>
    </w:p>
    <w:p w14:paraId="286BCED8">
      <w:pPr>
        <w:pStyle w:val="166"/>
      </w:pPr>
      <w:r>
        <w:rPr>
          <w:rFonts w:hint="eastAsia"/>
        </w:rPr>
        <w:t>服务过程中应遵循节力、安全原则，</w:t>
      </w:r>
      <w:r>
        <w:t>掌握并运用人体力学原理，避免搬运过程中对患者和自身造成伤害</w:t>
      </w:r>
      <w:r>
        <w:rPr>
          <w:rFonts w:hint="eastAsia"/>
        </w:rPr>
        <w:t>。</w:t>
      </w:r>
    </w:p>
    <w:p w14:paraId="4AEAF79B">
      <w:pPr>
        <w:pStyle w:val="166"/>
      </w:pPr>
      <w:r>
        <w:rPr>
          <w:rFonts w:hint="eastAsia"/>
        </w:rPr>
        <w:t>应注意在患者移动时保护各种管路，发现管路打折、牵拉、脱出等情况，及时报告医务人员。</w:t>
      </w:r>
    </w:p>
    <w:p w14:paraId="3329C58F">
      <w:pPr>
        <w:pStyle w:val="166"/>
      </w:pPr>
      <w:r>
        <w:rPr>
          <w:rFonts w:hint="eastAsia"/>
        </w:rPr>
        <w:t>变换体位时，应保护局部皮肤，发现伤口或受压部位出现异常情况，及时报告医务人员。</w:t>
      </w:r>
    </w:p>
    <w:p w14:paraId="648CC707">
      <w:pPr>
        <w:pStyle w:val="166"/>
      </w:pPr>
      <w:r>
        <w:rPr>
          <w:rFonts w:hint="eastAsia"/>
        </w:rPr>
        <w:t>在患者移动过程中，应注意避免发生跌倒或坠床等。</w:t>
      </w:r>
    </w:p>
    <w:p w14:paraId="07BC4DB5">
      <w:pPr>
        <w:pStyle w:val="67"/>
        <w:spacing w:before="120" w:after="120"/>
      </w:pPr>
      <w:r>
        <w:rPr>
          <w:rFonts w:hint="eastAsia"/>
        </w:rPr>
        <w:t>清洁消毒</w:t>
      </w:r>
    </w:p>
    <w:p w14:paraId="5DFDDD63">
      <w:pPr>
        <w:pStyle w:val="58"/>
        <w:ind w:firstLine="420"/>
      </w:pPr>
      <w:r>
        <w:rPr>
          <w:rFonts w:hint="eastAsia"/>
        </w:rPr>
        <w:t>清洁消毒服务应包括：</w:t>
      </w:r>
    </w:p>
    <w:p w14:paraId="6F23077D">
      <w:pPr>
        <w:pStyle w:val="176"/>
        <w:numPr>
          <w:ilvl w:val="0"/>
          <w:numId w:val="39"/>
        </w:numPr>
      </w:pPr>
      <w:r>
        <w:rPr>
          <w:rFonts w:hint="eastAsia"/>
        </w:rPr>
        <w:t>按要求使用浸泡法、熏蒸法等进行消毒；</w:t>
      </w:r>
    </w:p>
    <w:p w14:paraId="2DE32F29">
      <w:pPr>
        <w:pStyle w:val="176"/>
      </w:pPr>
      <w:r>
        <w:rPr>
          <w:rFonts w:hint="eastAsia"/>
        </w:rPr>
        <w:t>按要求配制常用消毒液；</w:t>
      </w:r>
    </w:p>
    <w:p w14:paraId="7F950F55">
      <w:pPr>
        <w:pStyle w:val="176"/>
      </w:pPr>
      <w:r>
        <w:rPr>
          <w:rFonts w:hint="eastAsia"/>
        </w:rPr>
        <w:t>对床单位进行终末消毒；</w:t>
      </w:r>
    </w:p>
    <w:p w14:paraId="147A2F1C">
      <w:pPr>
        <w:pStyle w:val="176"/>
      </w:pPr>
      <w:r>
        <w:rPr>
          <w:rFonts w:hint="eastAsia"/>
        </w:rPr>
        <w:t>对复用的痰杯、便器等进行清洁、消毒。</w:t>
      </w:r>
    </w:p>
    <w:p w14:paraId="2E6E0922">
      <w:pPr>
        <w:pStyle w:val="107"/>
        <w:spacing w:before="120" w:after="120"/>
      </w:pPr>
      <w:bookmarkStart w:id="71" w:name="_Toc211526377"/>
      <w:bookmarkStart w:id="72" w:name="_Toc211527035"/>
      <w:r>
        <w:rPr>
          <w:rFonts w:hint="eastAsia"/>
        </w:rPr>
        <w:t>临床照护</w:t>
      </w:r>
      <w:bookmarkEnd w:id="71"/>
      <w:bookmarkEnd w:id="72"/>
    </w:p>
    <w:p w14:paraId="4E612D86">
      <w:pPr>
        <w:pStyle w:val="67"/>
        <w:spacing w:before="120" w:after="120"/>
      </w:pPr>
      <w:r>
        <w:rPr>
          <w:rFonts w:hint="eastAsia"/>
        </w:rPr>
        <w:t>给药照护</w:t>
      </w:r>
    </w:p>
    <w:p w14:paraId="011C5529">
      <w:pPr>
        <w:widowControl/>
        <w:autoSpaceDE w:val="0"/>
        <w:autoSpaceDN w:val="0"/>
        <w:adjustRightInd/>
        <w:spacing w:line="240" w:lineRule="auto"/>
        <w:ind w:firstLine="420" w:firstLineChars="200"/>
        <w:rPr>
          <w:rFonts w:ascii="宋体" w:hAnsi="Times New Roman"/>
          <w:kern w:val="0"/>
          <w:szCs w:val="24"/>
        </w:rPr>
      </w:pPr>
      <w:r>
        <w:rPr>
          <w:rFonts w:hint="eastAsia" w:ascii="宋体" w:hAnsi="Times New Roman"/>
          <w:kern w:val="0"/>
          <w:szCs w:val="24"/>
        </w:rPr>
        <w:t>患者给药照护，应包括：</w:t>
      </w:r>
    </w:p>
    <w:p w14:paraId="36FBB374">
      <w:pPr>
        <w:pStyle w:val="176"/>
        <w:numPr>
          <w:ilvl w:val="0"/>
          <w:numId w:val="40"/>
        </w:numPr>
      </w:pPr>
      <w:r>
        <w:rPr>
          <w:rFonts w:hint="eastAsia"/>
        </w:rPr>
        <w:t>帮助患者接收、保管医护发放的药品；</w:t>
      </w:r>
    </w:p>
    <w:p w14:paraId="71202D66">
      <w:pPr>
        <w:pStyle w:val="176"/>
      </w:pPr>
      <w:r>
        <w:rPr>
          <w:rFonts w:hint="eastAsia"/>
        </w:rPr>
        <w:t>按医嘱或护士要求，协助患者定时、定量完成患者口服用药，包括中药饮片等；</w:t>
      </w:r>
    </w:p>
    <w:p w14:paraId="7A7A9990">
      <w:pPr>
        <w:pStyle w:val="176"/>
      </w:pPr>
      <w:r>
        <w:rPr>
          <w:rFonts w:hint="eastAsia"/>
        </w:rPr>
        <w:t>观察患者用药反应。</w:t>
      </w:r>
    </w:p>
    <w:p w14:paraId="4C621EBA">
      <w:pPr>
        <w:pStyle w:val="67"/>
        <w:spacing w:before="120" w:after="120"/>
      </w:pPr>
      <w:r>
        <w:rPr>
          <w:rFonts w:hint="eastAsia"/>
        </w:rPr>
        <w:t>标本采集</w:t>
      </w:r>
    </w:p>
    <w:p w14:paraId="6B419152">
      <w:pPr>
        <w:widowControl/>
        <w:autoSpaceDE w:val="0"/>
        <w:autoSpaceDN w:val="0"/>
        <w:adjustRightInd/>
        <w:spacing w:line="240" w:lineRule="auto"/>
        <w:ind w:firstLine="420" w:firstLineChars="200"/>
        <w:rPr>
          <w:rFonts w:ascii="宋体" w:hAnsi="Times New Roman"/>
          <w:kern w:val="0"/>
          <w:szCs w:val="24"/>
        </w:rPr>
      </w:pPr>
      <w:r>
        <w:rPr>
          <w:rFonts w:hint="eastAsia" w:ascii="宋体" w:hAnsi="Times New Roman"/>
          <w:kern w:val="0"/>
          <w:szCs w:val="24"/>
        </w:rPr>
        <w:t>患者标本采集，应包括：</w:t>
      </w:r>
    </w:p>
    <w:p w14:paraId="4D70E921">
      <w:pPr>
        <w:pStyle w:val="176"/>
        <w:numPr>
          <w:ilvl w:val="0"/>
          <w:numId w:val="41"/>
        </w:numPr>
      </w:pPr>
      <w:r>
        <w:rPr>
          <w:rFonts w:hint="eastAsia"/>
        </w:rPr>
        <w:t>根据医护要求，提醒患者正确</w:t>
      </w:r>
      <w:r>
        <w:rPr>
          <w:rFonts w:hint="eastAsia"/>
          <w:lang w:eastAsia="zh-CN"/>
        </w:rPr>
        <w:t>做好</w:t>
      </w:r>
      <w:r>
        <w:rPr>
          <w:rFonts w:hint="eastAsia"/>
        </w:rPr>
        <w:t>标本采样前准备；</w:t>
      </w:r>
    </w:p>
    <w:p w14:paraId="7FAC7804">
      <w:pPr>
        <w:pStyle w:val="176"/>
      </w:pPr>
      <w:r>
        <w:rPr>
          <w:rFonts w:hint="eastAsia"/>
        </w:rPr>
        <w:t>根据医嘱，正确留样患者的尿液、粪便，并送达指定地点。</w:t>
      </w:r>
    </w:p>
    <w:p w14:paraId="16853A46">
      <w:pPr>
        <w:pStyle w:val="67"/>
        <w:spacing w:before="120" w:after="120"/>
      </w:pPr>
      <w:r>
        <w:rPr>
          <w:rFonts w:hint="eastAsia"/>
        </w:rPr>
        <w:t>康复照护</w:t>
      </w:r>
    </w:p>
    <w:p w14:paraId="10195CFC">
      <w:pPr>
        <w:widowControl/>
        <w:autoSpaceDE w:val="0"/>
        <w:autoSpaceDN w:val="0"/>
        <w:adjustRightInd/>
        <w:spacing w:line="240" w:lineRule="auto"/>
        <w:ind w:firstLine="420" w:firstLineChars="200"/>
        <w:rPr>
          <w:rFonts w:ascii="宋体" w:hAnsi="Times New Roman"/>
          <w:kern w:val="0"/>
          <w:szCs w:val="24"/>
        </w:rPr>
      </w:pPr>
      <w:r>
        <w:rPr>
          <w:rFonts w:hint="eastAsia" w:ascii="宋体" w:hAnsi="Times New Roman"/>
          <w:kern w:val="0"/>
          <w:szCs w:val="24"/>
        </w:rPr>
        <w:t>患者康复照护应在医护指导下开展，包括：</w:t>
      </w:r>
    </w:p>
    <w:p w14:paraId="3810E2F3">
      <w:pPr>
        <w:pStyle w:val="176"/>
        <w:numPr>
          <w:ilvl w:val="0"/>
          <w:numId w:val="42"/>
        </w:numPr>
      </w:pPr>
      <w:r>
        <w:rPr>
          <w:rFonts w:hint="eastAsia"/>
        </w:rPr>
        <w:t>协助患者开展床上、床边逐步的自主康复运行；</w:t>
      </w:r>
    </w:p>
    <w:p w14:paraId="7ADF4EFA">
      <w:pPr>
        <w:pStyle w:val="176"/>
      </w:pPr>
      <w:r>
        <w:rPr>
          <w:rFonts w:hint="eastAsia"/>
        </w:rPr>
        <w:t>根据医护指导，定时协助患者病室、病区移动；</w:t>
      </w:r>
    </w:p>
    <w:p w14:paraId="63E5D0B1">
      <w:pPr>
        <w:pStyle w:val="176"/>
      </w:pPr>
      <w:r>
        <w:rPr>
          <w:rFonts w:hint="eastAsia"/>
        </w:rPr>
        <w:t>根据医护指导，结合患者康复情况，协助患者开展肢体按摩、身体延展等康复活动；</w:t>
      </w:r>
    </w:p>
    <w:p w14:paraId="02840A85">
      <w:pPr>
        <w:pStyle w:val="176"/>
      </w:pPr>
      <w:r>
        <w:rPr>
          <w:rFonts w:hint="eastAsia"/>
        </w:rPr>
        <w:t>按照医护要求，协助患者到康复科室等接受康复治疗。</w:t>
      </w:r>
    </w:p>
    <w:p w14:paraId="1E94393B">
      <w:pPr>
        <w:pStyle w:val="107"/>
        <w:spacing w:before="120" w:after="120"/>
      </w:pPr>
      <w:bookmarkStart w:id="73" w:name="_Toc211527036"/>
      <w:bookmarkStart w:id="74" w:name="_Toc211526378"/>
      <w:r>
        <w:rPr>
          <w:rFonts w:hint="eastAsia"/>
        </w:rPr>
        <w:t>心理支持</w:t>
      </w:r>
      <w:bookmarkEnd w:id="73"/>
      <w:bookmarkEnd w:id="74"/>
    </w:p>
    <w:p w14:paraId="376446A8">
      <w:pPr>
        <w:pStyle w:val="67"/>
        <w:spacing w:before="120" w:after="120"/>
      </w:pPr>
      <w:r>
        <w:rPr>
          <w:rFonts w:hint="eastAsia"/>
        </w:rPr>
        <w:t>安抚</w:t>
      </w:r>
    </w:p>
    <w:p w14:paraId="1CF76AAF">
      <w:pPr>
        <w:pStyle w:val="58"/>
        <w:ind w:firstLine="420"/>
      </w:pPr>
      <w:r>
        <w:rPr>
          <w:rFonts w:hint="eastAsia"/>
        </w:rPr>
        <w:t>陪伴与安抚服务宜包括：</w:t>
      </w:r>
    </w:p>
    <w:p w14:paraId="5AC47245">
      <w:pPr>
        <w:pStyle w:val="176"/>
        <w:numPr>
          <w:ilvl w:val="0"/>
          <w:numId w:val="43"/>
        </w:numPr>
      </w:pPr>
      <w:r>
        <w:rPr>
          <w:rFonts w:hint="eastAsia"/>
        </w:rPr>
        <w:t>环境适应: 主动向新入院患者介绍病区环境、作息制度，减轻其陌生感和焦虑感；</w:t>
      </w:r>
    </w:p>
    <w:p w14:paraId="3D60B1D5">
      <w:pPr>
        <w:pStyle w:val="176"/>
      </w:pPr>
      <w:r>
        <w:rPr>
          <w:rFonts w:hint="eastAsia"/>
        </w:rPr>
        <w:t>情绪疏导: 多与患者沟通交流，使用安慰性、鼓励性语言，倾听其诉求，给予情感支持；</w:t>
      </w:r>
    </w:p>
    <w:p w14:paraId="41932061">
      <w:pPr>
        <w:pStyle w:val="176"/>
      </w:pPr>
      <w:r>
        <w:rPr>
          <w:rFonts w:hint="eastAsia"/>
        </w:rPr>
        <w:t>尊重习惯: 尽量尊重患者的个人生活习惯和宗教信仰，在合理范围内予以满足；</w:t>
      </w:r>
    </w:p>
    <w:p w14:paraId="444E0793">
      <w:pPr>
        <w:pStyle w:val="176"/>
      </w:pPr>
      <w:r>
        <w:rPr>
          <w:rFonts w:hint="eastAsia"/>
        </w:rPr>
        <w:t>陪伴慰藉: 给予患者耐心陪伴，特别是对于无家属陪伴、老年、儿童及终末期患者。</w:t>
      </w:r>
    </w:p>
    <w:p w14:paraId="0085602F">
      <w:pPr>
        <w:pStyle w:val="67"/>
        <w:spacing w:before="120" w:after="120"/>
      </w:pPr>
      <w:r>
        <w:rPr>
          <w:rFonts w:hint="eastAsia"/>
        </w:rPr>
        <w:t>临终关怀</w:t>
      </w:r>
    </w:p>
    <w:p w14:paraId="17C78D05">
      <w:pPr>
        <w:pStyle w:val="58"/>
        <w:ind w:firstLine="420"/>
      </w:pPr>
      <w:r>
        <w:rPr>
          <w:rFonts w:hint="eastAsia"/>
        </w:rPr>
        <w:t>临终关怀宜包括:</w:t>
      </w:r>
    </w:p>
    <w:p w14:paraId="5D79B728">
      <w:pPr>
        <w:pStyle w:val="176"/>
        <w:numPr>
          <w:ilvl w:val="0"/>
          <w:numId w:val="44"/>
        </w:numPr>
      </w:pPr>
      <w:r>
        <w:rPr>
          <w:rFonts w:hint="eastAsia"/>
        </w:rPr>
        <w:t>整理临终患者病室的环境，避免噪声、强光、异味等不良刺激；</w:t>
      </w:r>
    </w:p>
    <w:p w14:paraId="217463AB">
      <w:pPr>
        <w:pStyle w:val="176"/>
      </w:pPr>
      <w:r>
        <w:rPr>
          <w:rFonts w:hint="eastAsia"/>
        </w:rPr>
        <w:t>陪伴临终患者并倾听诉说；</w:t>
      </w:r>
    </w:p>
    <w:p w14:paraId="09206919">
      <w:pPr>
        <w:pStyle w:val="176"/>
      </w:pPr>
      <w:r>
        <w:rPr>
          <w:rFonts w:hint="eastAsia"/>
        </w:rPr>
        <w:t>观察并识别临终患者是否有疼痛等不适症状并及时报告；</w:t>
      </w:r>
    </w:p>
    <w:p w14:paraId="3B6C8C9E">
      <w:pPr>
        <w:pStyle w:val="176"/>
      </w:pPr>
      <w:bookmarkStart w:id="75" w:name="OLE_LINK2"/>
      <w:r>
        <w:rPr>
          <w:rFonts w:hint="eastAsia"/>
        </w:rPr>
        <w:t>为死亡患者进行遗体清洁、更衣。</w:t>
      </w:r>
    </w:p>
    <w:bookmarkEnd w:id="75"/>
    <w:p w14:paraId="4E5B6D81">
      <w:pPr>
        <w:pStyle w:val="106"/>
        <w:spacing w:before="240" w:after="240"/>
      </w:pPr>
      <w:bookmarkStart w:id="76" w:name="_Toc208775434"/>
      <w:bookmarkStart w:id="77" w:name="_Toc211526379"/>
      <w:bookmarkStart w:id="78" w:name="_Toc211527037"/>
      <w:r>
        <w:rPr>
          <w:rFonts w:hint="eastAsia"/>
        </w:rPr>
        <w:t>服务流程</w:t>
      </w:r>
      <w:bookmarkEnd w:id="76"/>
      <w:bookmarkEnd w:id="77"/>
      <w:bookmarkEnd w:id="78"/>
    </w:p>
    <w:p w14:paraId="2484BB1E">
      <w:pPr>
        <w:pStyle w:val="107"/>
        <w:spacing w:before="120" w:after="120"/>
      </w:pPr>
      <w:bookmarkStart w:id="79" w:name="_Toc211526380"/>
      <w:bookmarkStart w:id="80" w:name="_Toc211527038"/>
      <w:bookmarkStart w:id="81" w:name="_Toc208775435"/>
      <w:r>
        <w:rPr>
          <w:rFonts w:hint="eastAsia"/>
        </w:rPr>
        <w:t>咨询接待与评估</w:t>
      </w:r>
      <w:bookmarkEnd w:id="79"/>
      <w:bookmarkEnd w:id="80"/>
      <w:bookmarkEnd w:id="81"/>
    </w:p>
    <w:p w14:paraId="130B2BCB">
      <w:pPr>
        <w:pStyle w:val="167"/>
      </w:pPr>
      <w:r>
        <w:rPr>
          <w:rFonts w:hint="eastAsia"/>
        </w:rPr>
        <w:t>物业</w:t>
      </w:r>
      <w:r>
        <w:rPr>
          <w:rFonts w:hint="eastAsia"/>
          <w:lang w:val="en-US" w:eastAsia="zh-CN"/>
        </w:rPr>
        <w:t>服务</w:t>
      </w:r>
      <w:r>
        <w:rPr>
          <w:rFonts w:hint="eastAsia"/>
        </w:rPr>
        <w:t>企业应建立服务接待平台，接受客户的咨询及预订信息，接待流程为：</w:t>
      </w:r>
    </w:p>
    <w:p w14:paraId="2E9BBF92">
      <w:pPr>
        <w:pStyle w:val="176"/>
        <w:numPr>
          <w:ilvl w:val="0"/>
          <w:numId w:val="45"/>
        </w:numPr>
      </w:pPr>
      <w:r>
        <w:rPr>
          <w:rFonts w:hint="eastAsia"/>
        </w:rPr>
        <w:t>受理咨询；</w:t>
      </w:r>
    </w:p>
    <w:p w14:paraId="2811200E">
      <w:pPr>
        <w:pStyle w:val="176"/>
        <w:numPr>
          <w:ilvl w:val="0"/>
          <w:numId w:val="45"/>
        </w:numPr>
      </w:pPr>
      <w:r>
        <w:rPr>
          <w:rFonts w:hint="eastAsia"/>
        </w:rPr>
        <w:t>了解需求；</w:t>
      </w:r>
    </w:p>
    <w:p w14:paraId="34076EA9">
      <w:pPr>
        <w:pStyle w:val="176"/>
        <w:numPr>
          <w:ilvl w:val="0"/>
          <w:numId w:val="45"/>
        </w:numPr>
      </w:pPr>
      <w:r>
        <w:rPr>
          <w:rFonts w:hint="eastAsia"/>
        </w:rPr>
        <w:t>推荐方案；</w:t>
      </w:r>
    </w:p>
    <w:p w14:paraId="1C2D1E5E">
      <w:pPr>
        <w:pStyle w:val="176"/>
        <w:numPr>
          <w:ilvl w:val="0"/>
          <w:numId w:val="45"/>
        </w:numPr>
      </w:pPr>
      <w:r>
        <w:rPr>
          <w:rFonts w:hint="eastAsia"/>
        </w:rPr>
        <w:t>达成意向。</w:t>
      </w:r>
    </w:p>
    <w:p w14:paraId="09F2AEE1">
      <w:pPr>
        <w:pStyle w:val="167"/>
      </w:pPr>
      <w:r>
        <w:rPr>
          <w:rFonts w:hint="eastAsia"/>
        </w:rPr>
        <w:t>派专人或由经过培训的专职评估员与患者主管护士/家属沟通，对患者情况进行初步评估，包括：病情、自理能力、护理分级、医生医嘱、患者个人意愿及家属意见等。</w:t>
      </w:r>
    </w:p>
    <w:p w14:paraId="3E2BA017">
      <w:pPr>
        <w:pStyle w:val="167"/>
      </w:pPr>
      <w:r>
        <w:rPr>
          <w:rFonts w:hint="eastAsia"/>
        </w:rPr>
        <w:t>根据评估结果，按照表1的规定推荐合适的服务等级和医疗护理员。</w:t>
      </w:r>
    </w:p>
    <w:p w14:paraId="2AA96E98">
      <w:pPr>
        <w:pStyle w:val="107"/>
        <w:spacing w:before="120" w:after="120"/>
      </w:pPr>
      <w:bookmarkStart w:id="82" w:name="_Toc211527039"/>
      <w:bookmarkStart w:id="83" w:name="_Toc211526381"/>
      <w:bookmarkStart w:id="84" w:name="_Toc208775436"/>
      <w:r>
        <w:rPr>
          <w:rFonts w:hint="eastAsia"/>
        </w:rPr>
        <w:t>制定服务方案</w:t>
      </w:r>
      <w:bookmarkEnd w:id="82"/>
      <w:bookmarkEnd w:id="83"/>
    </w:p>
    <w:p w14:paraId="410487B3">
      <w:pPr>
        <w:pStyle w:val="58"/>
        <w:ind w:firstLine="420"/>
      </w:pPr>
      <w:r>
        <w:rPr>
          <w:rFonts w:hint="eastAsia"/>
        </w:rPr>
        <w:t>根据评估结果和达成的服务意向，制定服务方案，明确具体服务内容、频次、特殊注意事项等，并经患者或家属确认。</w:t>
      </w:r>
    </w:p>
    <w:p w14:paraId="65D6A6A2">
      <w:pPr>
        <w:pStyle w:val="107"/>
        <w:spacing w:before="120" w:after="120"/>
      </w:pPr>
      <w:bookmarkStart w:id="85" w:name="_Toc211526382"/>
      <w:bookmarkStart w:id="86" w:name="_Toc211527040"/>
      <w:r>
        <w:rPr>
          <w:rFonts w:hint="eastAsia"/>
        </w:rPr>
        <w:t>签订合同</w:t>
      </w:r>
      <w:bookmarkEnd w:id="84"/>
      <w:bookmarkEnd w:id="85"/>
      <w:bookmarkEnd w:id="86"/>
    </w:p>
    <w:p w14:paraId="76C36F10">
      <w:pPr>
        <w:pStyle w:val="167"/>
      </w:pPr>
      <w:r>
        <w:rPr>
          <w:rFonts w:hint="eastAsia"/>
        </w:rPr>
        <w:t>签订陪护服务合同，合同内容包括：</w:t>
      </w:r>
    </w:p>
    <w:p w14:paraId="4288AD53">
      <w:pPr>
        <w:pStyle w:val="176"/>
        <w:numPr>
          <w:ilvl w:val="0"/>
          <w:numId w:val="46"/>
        </w:numPr>
      </w:pPr>
      <w:r>
        <w:rPr>
          <w:rFonts w:hint="eastAsia"/>
        </w:rPr>
        <w:t>双方基本信息，包括物业</w:t>
      </w:r>
      <w:r>
        <w:rPr>
          <w:rFonts w:hint="eastAsia"/>
          <w:lang w:val="en-US" w:eastAsia="zh-CN"/>
        </w:rPr>
        <w:t>服务</w:t>
      </w:r>
      <w:r>
        <w:rPr>
          <w:rFonts w:hint="eastAsia"/>
        </w:rPr>
        <w:t>企业和客户的姓名、地址、联系方式等；</w:t>
      </w:r>
    </w:p>
    <w:p w14:paraId="106E3461">
      <w:pPr>
        <w:pStyle w:val="176"/>
        <w:numPr>
          <w:ilvl w:val="0"/>
          <w:numId w:val="46"/>
        </w:numPr>
      </w:pPr>
      <w:r>
        <w:rPr>
          <w:rFonts w:hint="eastAsia"/>
        </w:rPr>
        <w:t>服务内容；</w:t>
      </w:r>
    </w:p>
    <w:p w14:paraId="6EDC1DF0">
      <w:pPr>
        <w:pStyle w:val="176"/>
        <w:numPr>
          <w:ilvl w:val="0"/>
          <w:numId w:val="46"/>
        </w:numPr>
      </w:pPr>
      <w:r>
        <w:rPr>
          <w:rFonts w:hint="eastAsia"/>
        </w:rPr>
        <w:t>服务期限；</w:t>
      </w:r>
    </w:p>
    <w:p w14:paraId="0D7582F1">
      <w:pPr>
        <w:pStyle w:val="176"/>
        <w:numPr>
          <w:ilvl w:val="0"/>
          <w:numId w:val="46"/>
        </w:numPr>
      </w:pPr>
      <w:r>
        <w:rPr>
          <w:rFonts w:hint="eastAsia"/>
        </w:rPr>
        <w:t>服务试用期及定金；</w:t>
      </w:r>
    </w:p>
    <w:p w14:paraId="702D09AD">
      <w:pPr>
        <w:pStyle w:val="176"/>
        <w:numPr>
          <w:ilvl w:val="0"/>
          <w:numId w:val="46"/>
        </w:numPr>
      </w:pPr>
      <w:r>
        <w:rPr>
          <w:rFonts w:hint="eastAsia"/>
        </w:rPr>
        <w:t>服务费用及收费方式；</w:t>
      </w:r>
    </w:p>
    <w:p w14:paraId="0AD91F8C">
      <w:pPr>
        <w:pStyle w:val="176"/>
        <w:numPr>
          <w:ilvl w:val="0"/>
          <w:numId w:val="46"/>
        </w:numPr>
      </w:pPr>
      <w:r>
        <w:rPr>
          <w:rFonts w:hint="eastAsia"/>
        </w:rPr>
        <w:t>客户隐私保障；</w:t>
      </w:r>
    </w:p>
    <w:p w14:paraId="469BEE57">
      <w:pPr>
        <w:pStyle w:val="176"/>
        <w:numPr>
          <w:ilvl w:val="0"/>
          <w:numId w:val="46"/>
        </w:numPr>
      </w:pPr>
      <w:r>
        <w:rPr>
          <w:rFonts w:hint="eastAsia"/>
        </w:rPr>
        <w:t>医疗风险告知；</w:t>
      </w:r>
    </w:p>
    <w:p w14:paraId="67134716">
      <w:pPr>
        <w:pStyle w:val="176"/>
        <w:numPr>
          <w:ilvl w:val="0"/>
          <w:numId w:val="46"/>
        </w:numPr>
      </w:pPr>
      <w:r>
        <w:rPr>
          <w:rFonts w:hint="eastAsia"/>
        </w:rPr>
        <w:t>违约责任；</w:t>
      </w:r>
    </w:p>
    <w:p w14:paraId="699AFBC5">
      <w:pPr>
        <w:pStyle w:val="176"/>
        <w:numPr>
          <w:ilvl w:val="0"/>
          <w:numId w:val="46"/>
        </w:numPr>
      </w:pPr>
      <w:r>
        <w:rPr>
          <w:rFonts w:hint="eastAsia"/>
        </w:rPr>
        <w:t>合同的终止、变更、续订和解除的处理方式；</w:t>
      </w:r>
    </w:p>
    <w:p w14:paraId="79B99A2A">
      <w:pPr>
        <w:pStyle w:val="176"/>
        <w:numPr>
          <w:ilvl w:val="0"/>
          <w:numId w:val="46"/>
        </w:numPr>
      </w:pPr>
      <w:r>
        <w:rPr>
          <w:rFonts w:hint="eastAsia"/>
        </w:rPr>
        <w:t>合同中约定争议处理方法；</w:t>
      </w:r>
    </w:p>
    <w:p w14:paraId="605C4926">
      <w:pPr>
        <w:pStyle w:val="176"/>
        <w:numPr>
          <w:ilvl w:val="0"/>
          <w:numId w:val="46"/>
        </w:numPr>
      </w:pPr>
      <w:r>
        <w:rPr>
          <w:rFonts w:hint="eastAsia"/>
        </w:rPr>
        <w:t>其他需约定的事项。</w:t>
      </w:r>
    </w:p>
    <w:p w14:paraId="4F6F1570">
      <w:pPr>
        <w:pStyle w:val="167"/>
      </w:pPr>
      <w:r>
        <w:rPr>
          <w:rFonts w:hint="eastAsia"/>
        </w:rPr>
        <w:t>合同签订前，应确保患者或家属已充分理解并同意合同条款。</w:t>
      </w:r>
    </w:p>
    <w:p w14:paraId="73965355">
      <w:pPr>
        <w:pStyle w:val="107"/>
        <w:spacing w:before="120" w:after="120"/>
      </w:pPr>
      <w:bookmarkStart w:id="87" w:name="_Toc211526383"/>
      <w:bookmarkStart w:id="88" w:name="_Toc211527041"/>
      <w:bookmarkStart w:id="89" w:name="_Toc208775437"/>
      <w:r>
        <w:rPr>
          <w:rFonts w:hint="eastAsia"/>
        </w:rPr>
        <w:t>匹配医疗护理员</w:t>
      </w:r>
      <w:bookmarkEnd w:id="87"/>
      <w:bookmarkEnd w:id="88"/>
      <w:bookmarkEnd w:id="89"/>
    </w:p>
    <w:p w14:paraId="6907E86D">
      <w:pPr>
        <w:pStyle w:val="167"/>
      </w:pPr>
      <w:r>
        <w:rPr>
          <w:rFonts w:hint="eastAsia"/>
        </w:rPr>
        <w:t>根据患者性别、年龄、病情、性格特点及特殊需求，匹配技能和性格合适的陪护员。</w:t>
      </w:r>
    </w:p>
    <w:p w14:paraId="6F6C83DF">
      <w:pPr>
        <w:pStyle w:val="167"/>
      </w:pPr>
      <w:bookmarkStart w:id="90" w:name="OLE_LINK5"/>
      <w:r>
        <w:rPr>
          <w:rFonts w:hint="eastAsia"/>
        </w:rPr>
        <w:t>医疗护理</w:t>
      </w:r>
      <w:bookmarkEnd w:id="90"/>
      <w:r>
        <w:rPr>
          <w:rFonts w:hint="eastAsia"/>
        </w:rPr>
        <w:t>员上岗前应至护士站报到，出示工作证和健康证，了解患者基本情况及护理注意事项。</w:t>
      </w:r>
    </w:p>
    <w:p w14:paraId="310BFFE4">
      <w:pPr>
        <w:pStyle w:val="167"/>
      </w:pPr>
      <w:r>
        <w:rPr>
          <w:rFonts w:hint="eastAsia"/>
        </w:rPr>
        <w:t>医疗护理员首次见患者时，应进行自我介绍，主动向患者或家属出示自己的身份证件、工作证件和健康证并与患者或家属共同确认服务内容。</w:t>
      </w:r>
    </w:p>
    <w:p w14:paraId="3464ADAA">
      <w:pPr>
        <w:pStyle w:val="107"/>
        <w:spacing w:before="120" w:after="120"/>
      </w:pPr>
      <w:bookmarkStart w:id="91" w:name="_Toc208775438"/>
      <w:bookmarkStart w:id="92" w:name="_Toc211526384"/>
      <w:bookmarkStart w:id="93" w:name="_Toc211527042"/>
      <w:r>
        <w:rPr>
          <w:rFonts w:hint="eastAsia"/>
        </w:rPr>
        <w:t>实施服务</w:t>
      </w:r>
      <w:bookmarkEnd w:id="91"/>
      <w:bookmarkEnd w:id="92"/>
      <w:bookmarkEnd w:id="93"/>
    </w:p>
    <w:p w14:paraId="15671273">
      <w:pPr>
        <w:pStyle w:val="167"/>
      </w:pPr>
      <w:r>
        <w:rPr>
          <w:rFonts w:hint="eastAsia"/>
        </w:rPr>
        <w:t>医疗护理员应按照服务合同、服务方案的要求，结合患者具体情况，及时提供服务，并做好服务过程的记录。</w:t>
      </w:r>
    </w:p>
    <w:p w14:paraId="2E3B8864">
      <w:pPr>
        <w:pStyle w:val="167"/>
      </w:pPr>
      <w:r>
        <w:rPr>
          <w:rFonts w:hint="eastAsia"/>
        </w:rPr>
        <w:t>医疗护理员在服务过程中，应遵守相关法律法规和医疗机构的规定，注重公共卫生和环境保护。</w:t>
      </w:r>
    </w:p>
    <w:p w14:paraId="3CEC2A29">
      <w:pPr>
        <w:pStyle w:val="167"/>
      </w:pPr>
      <w:r>
        <w:rPr>
          <w:rFonts w:hint="eastAsia"/>
        </w:rPr>
        <w:t>医疗护理员应积极与患者及家属沟通，熟悉并尊重患者的生活及风俗习惯、宗教信仰等，适情调整服务方案。</w:t>
      </w:r>
    </w:p>
    <w:p w14:paraId="4B1A4BD3">
      <w:pPr>
        <w:pStyle w:val="167"/>
      </w:pPr>
      <w:r>
        <w:rPr>
          <w:rFonts w:hint="eastAsia"/>
        </w:rPr>
        <w:t>每日如实填写《陪护服务工作日志》，记录生命体征监测、照护内容、特殊情况、患者状态等，并请患者家属或护士确认。</w:t>
      </w:r>
    </w:p>
    <w:p w14:paraId="4ADBAAD4">
      <w:pPr>
        <w:pStyle w:val="167"/>
        <w:rPr>
          <w:rFonts w:ascii="黑体" w:eastAsia="黑体"/>
        </w:rPr>
      </w:pPr>
      <w:r>
        <w:rPr>
          <w:rFonts w:hint="eastAsia"/>
        </w:rPr>
        <w:t>交接班时，应与接班医疗护理员或家属当面交接，交代患者病情、治疗、心理状况及注意事项，并填写记录。</w:t>
      </w:r>
    </w:p>
    <w:p w14:paraId="6835644D">
      <w:pPr>
        <w:pStyle w:val="167"/>
      </w:pPr>
      <w:r>
        <w:rPr>
          <w:rFonts w:hint="eastAsia"/>
          <w:lang w:eastAsia="zh-CN"/>
        </w:rPr>
        <w:t>物业服务企业</w:t>
      </w:r>
      <w:r>
        <w:rPr>
          <w:rFonts w:hint="eastAsia"/>
        </w:rPr>
        <w:t>管理人员应每日巡查，检查医疗护理员工作状态、服务质量，并听取医护人员和家属意见。</w:t>
      </w:r>
    </w:p>
    <w:p w14:paraId="6355BD48">
      <w:pPr>
        <w:pStyle w:val="107"/>
        <w:spacing w:before="120" w:after="120"/>
      </w:pPr>
      <w:bookmarkStart w:id="94" w:name="_Toc211527043"/>
      <w:bookmarkStart w:id="95" w:name="_Toc211526385"/>
      <w:r>
        <w:rPr>
          <w:rFonts w:hint="eastAsia"/>
        </w:rPr>
        <w:t>资料归档</w:t>
      </w:r>
      <w:bookmarkEnd w:id="94"/>
      <w:bookmarkEnd w:id="95"/>
    </w:p>
    <w:p w14:paraId="6B4B4ECB">
      <w:pPr>
        <w:pStyle w:val="167"/>
      </w:pPr>
      <w:r>
        <w:rPr>
          <w:rFonts w:hint="eastAsia"/>
        </w:rPr>
        <w:t>服务期满或因患者出院、转科等原因终止服务时，应做好终末交接。</w:t>
      </w:r>
    </w:p>
    <w:p w14:paraId="431AA134">
      <w:pPr>
        <w:pStyle w:val="167"/>
      </w:pPr>
      <w:r>
        <w:rPr>
          <w:rFonts w:hint="eastAsia"/>
        </w:rPr>
        <w:t>应按照合同约定结算费用，提供收费清单。</w:t>
      </w:r>
    </w:p>
    <w:p w14:paraId="6FA7319D">
      <w:pPr>
        <w:pStyle w:val="167"/>
      </w:pPr>
      <w:r>
        <w:rPr>
          <w:rFonts w:hint="eastAsia"/>
        </w:rPr>
        <w:t>服务期满应主动征求患者或家属意见，请其填写《满意度调查表》。</w:t>
      </w:r>
    </w:p>
    <w:p w14:paraId="7C27392F">
      <w:pPr>
        <w:pStyle w:val="167"/>
      </w:pPr>
      <w:r>
        <w:rPr>
          <w:rFonts w:hint="eastAsia"/>
        </w:rPr>
        <w:t>应整理本次服务所有档案，归档保存。</w:t>
      </w:r>
    </w:p>
    <w:p w14:paraId="07C9C8AC">
      <w:pPr>
        <w:pStyle w:val="106"/>
        <w:spacing w:before="240" w:after="240"/>
      </w:pPr>
      <w:bookmarkStart w:id="96" w:name="_Toc208775448"/>
      <w:bookmarkStart w:id="97" w:name="_Toc211526386"/>
      <w:bookmarkStart w:id="98" w:name="_Toc211527044"/>
      <w:r>
        <w:rPr>
          <w:rFonts w:hint="eastAsia"/>
        </w:rPr>
        <w:t>服务监督、评价与改进</w:t>
      </w:r>
      <w:bookmarkEnd w:id="96"/>
      <w:bookmarkEnd w:id="97"/>
      <w:bookmarkEnd w:id="98"/>
    </w:p>
    <w:p w14:paraId="6324270E">
      <w:pPr>
        <w:pStyle w:val="107"/>
        <w:spacing w:before="120" w:after="120"/>
      </w:pPr>
      <w:bookmarkStart w:id="99" w:name="_Toc211527045"/>
      <w:bookmarkStart w:id="100" w:name="_Toc211526387"/>
      <w:bookmarkStart w:id="101" w:name="_Toc208775449"/>
      <w:r>
        <w:rPr>
          <w:rFonts w:hint="eastAsia"/>
        </w:rPr>
        <w:t>服务监督</w:t>
      </w:r>
      <w:bookmarkEnd w:id="99"/>
      <w:bookmarkEnd w:id="100"/>
    </w:p>
    <w:p w14:paraId="7CFB233E">
      <w:pPr>
        <w:pStyle w:val="167"/>
      </w:pPr>
      <w:r>
        <w:rPr>
          <w:rFonts w:hint="eastAsia"/>
          <w:lang w:eastAsia="zh-CN"/>
        </w:rPr>
        <w:t>物业服务企业</w:t>
      </w:r>
      <w:r>
        <w:rPr>
          <w:rFonts w:hint="eastAsia"/>
        </w:rPr>
        <w:t>应按 4.1.1的要求公示服务信息和监督方式，服务合同中注明服务内容、质量标准和投诉路径，公开接受患者及家属、社会的监督。</w:t>
      </w:r>
    </w:p>
    <w:p w14:paraId="4983F596">
      <w:pPr>
        <w:pStyle w:val="167"/>
      </w:pPr>
      <w:r>
        <w:rPr>
          <w:rFonts w:hint="eastAsia"/>
          <w:lang w:eastAsia="zh-CN"/>
        </w:rPr>
        <w:t>物业服务企业</w:t>
      </w:r>
      <w:r>
        <w:rPr>
          <w:rFonts w:hint="eastAsia"/>
        </w:rPr>
        <w:t>应落实现场检</w:t>
      </w:r>
      <w:r>
        <w:rPr>
          <w:rFonts w:hint="eastAsia"/>
          <w:lang w:eastAsia="zh-CN"/>
        </w:rPr>
        <w:t>查机</w:t>
      </w:r>
      <w:r>
        <w:rPr>
          <w:rFonts w:hint="eastAsia"/>
        </w:rPr>
        <w:t>制，并主动与护理、医务、院感等部门沟通，接受其监督，形成多维度和多方位的监督机制。</w:t>
      </w:r>
    </w:p>
    <w:p w14:paraId="66716344">
      <w:pPr>
        <w:pStyle w:val="167"/>
      </w:pPr>
      <w:r>
        <w:rPr>
          <w:rFonts w:hint="eastAsia"/>
        </w:rPr>
        <w:t>医疗护理员应挂牌上岗，明示姓名、岗位和工号，主动接受服务的患者及家属、医护人员、主管领导、其他群众或组织的监督。</w:t>
      </w:r>
    </w:p>
    <w:p w14:paraId="26FA177F">
      <w:pPr>
        <w:pStyle w:val="107"/>
        <w:spacing w:before="120" w:after="120"/>
      </w:pPr>
      <w:bookmarkStart w:id="102" w:name="_Toc211526388"/>
      <w:bookmarkStart w:id="103" w:name="_Toc211527046"/>
      <w:r>
        <w:rPr>
          <w:rFonts w:hint="eastAsia"/>
        </w:rPr>
        <w:t>投诉处理</w:t>
      </w:r>
      <w:bookmarkEnd w:id="102"/>
      <w:bookmarkEnd w:id="103"/>
    </w:p>
    <w:p w14:paraId="63643D46">
      <w:pPr>
        <w:pStyle w:val="167"/>
      </w:pPr>
      <w:r>
        <w:rPr>
          <w:rFonts w:hint="eastAsia"/>
          <w:lang w:eastAsia="zh-CN"/>
        </w:rPr>
        <w:t>物业服务企业</w:t>
      </w:r>
      <w:r>
        <w:rPr>
          <w:rFonts w:hint="eastAsia"/>
        </w:rPr>
        <w:t>应多渠道、路径为客户投诉提供便利，如设意见箱、公开投诉电话、开放信息平台等。</w:t>
      </w:r>
    </w:p>
    <w:p w14:paraId="178F93FA">
      <w:pPr>
        <w:pStyle w:val="167"/>
      </w:pPr>
      <w:r>
        <w:rPr>
          <w:rFonts w:hint="eastAsia"/>
          <w:lang w:eastAsia="zh-CN"/>
        </w:rPr>
        <w:t>物业服务企业</w:t>
      </w:r>
      <w:r>
        <w:rPr>
          <w:rFonts w:hint="eastAsia"/>
        </w:rPr>
        <w:t>应按照</w:t>
      </w:r>
      <w:r>
        <w:rPr>
          <w:rFonts w:ascii="Times New Roman"/>
        </w:rPr>
        <w:t>GB/T 17242</w:t>
      </w:r>
      <w:r>
        <w:rPr>
          <w:rFonts w:hint="eastAsia"/>
        </w:rPr>
        <w:t>的规定，结合所在地条件和习俗，建立可靠的投诉处置机制。投诉处理应符合以下要求：</w:t>
      </w:r>
    </w:p>
    <w:p w14:paraId="7A2CA6B9">
      <w:pPr>
        <w:pStyle w:val="176"/>
        <w:numPr>
          <w:ilvl w:val="0"/>
          <w:numId w:val="47"/>
        </w:numPr>
      </w:pPr>
      <w:r>
        <w:rPr>
          <w:rFonts w:hint="eastAsia"/>
        </w:rPr>
        <w:t>公开投诉电话，</w:t>
      </w:r>
      <w:r>
        <w:rPr>
          <w:rFonts w:ascii="Times New Roman"/>
        </w:rPr>
        <w:t>24h</w:t>
      </w:r>
      <w:r>
        <w:rPr>
          <w:rFonts w:hint="eastAsia"/>
        </w:rPr>
        <w:t>畅通；</w:t>
      </w:r>
    </w:p>
    <w:p w14:paraId="1E04FD4C">
      <w:pPr>
        <w:pStyle w:val="176"/>
      </w:pPr>
      <w:r>
        <w:rPr>
          <w:rFonts w:hint="eastAsia"/>
        </w:rPr>
        <w:t>服务投诉，</w:t>
      </w:r>
      <w:r>
        <w:rPr>
          <w:rFonts w:ascii="Times New Roman"/>
        </w:rPr>
        <w:t>1h</w:t>
      </w:r>
      <w:r>
        <w:rPr>
          <w:rFonts w:hint="eastAsia"/>
        </w:rPr>
        <w:t>内管理人员现场处置；</w:t>
      </w:r>
    </w:p>
    <w:p w14:paraId="40760A47">
      <w:pPr>
        <w:pStyle w:val="176"/>
      </w:pPr>
      <w:r>
        <w:rPr>
          <w:rFonts w:hint="eastAsia"/>
        </w:rPr>
        <w:t>一般投诉，</w:t>
      </w:r>
      <w:r>
        <w:rPr>
          <w:rFonts w:ascii="Times New Roman"/>
        </w:rPr>
        <w:t>4h</w:t>
      </w:r>
      <w:r>
        <w:rPr>
          <w:rFonts w:hint="eastAsia"/>
        </w:rPr>
        <w:t>内结案；重要投诉，</w:t>
      </w:r>
      <w:r>
        <w:rPr>
          <w:rFonts w:ascii="Times New Roman"/>
        </w:rPr>
        <w:t>48h</w:t>
      </w:r>
      <w:r>
        <w:rPr>
          <w:rFonts w:hint="eastAsia"/>
        </w:rPr>
        <w:t>内结案，复杂情势的，在约定时间内完成处置；</w:t>
      </w:r>
    </w:p>
    <w:p w14:paraId="0B750C14">
      <w:pPr>
        <w:pStyle w:val="176"/>
      </w:pPr>
      <w:r>
        <w:rPr>
          <w:rFonts w:hint="eastAsia"/>
        </w:rPr>
        <w:t>投诉处置完毕后</w:t>
      </w:r>
      <w:r>
        <w:rPr>
          <w:rFonts w:ascii="Times New Roman"/>
        </w:rPr>
        <w:t>48h</w:t>
      </w:r>
      <w:r>
        <w:rPr>
          <w:rFonts w:hint="eastAsia"/>
        </w:rPr>
        <w:t>内完成回访。</w:t>
      </w:r>
    </w:p>
    <w:p w14:paraId="245D1D48">
      <w:pPr>
        <w:pStyle w:val="107"/>
        <w:spacing w:before="120" w:after="120"/>
      </w:pPr>
      <w:bookmarkStart w:id="104" w:name="_Toc211526389"/>
      <w:bookmarkStart w:id="105" w:name="_Toc211527047"/>
      <w:r>
        <w:rPr>
          <w:rFonts w:hint="eastAsia" w:ascii="宋体"/>
        </w:rPr>
        <w:t>服务评价</w:t>
      </w:r>
      <w:bookmarkEnd w:id="101"/>
      <w:bookmarkEnd w:id="104"/>
      <w:bookmarkEnd w:id="105"/>
    </w:p>
    <w:p w14:paraId="2339079C">
      <w:pPr>
        <w:pStyle w:val="167"/>
      </w:pPr>
      <w:r>
        <w:rPr>
          <w:rFonts w:hint="eastAsia"/>
        </w:rPr>
        <w:t>宜对服务项目、服务质量、持续质量改进等内容采取日常检查、定期检查、专项检查、不定期抽查等方式相结合进行评价。可采用以下方式：</w:t>
      </w:r>
    </w:p>
    <w:p w14:paraId="5DE5A4D7">
      <w:pPr>
        <w:pStyle w:val="176"/>
        <w:numPr>
          <w:ilvl w:val="0"/>
          <w:numId w:val="48"/>
        </w:numPr>
      </w:pPr>
      <w:r>
        <w:rPr>
          <w:rFonts w:hint="eastAsia"/>
        </w:rPr>
        <w:t>设置意见箱、发放问卷、网上收集等方式收集评价信息；</w:t>
      </w:r>
    </w:p>
    <w:p w14:paraId="4DF1BCA6">
      <w:pPr>
        <w:pStyle w:val="176"/>
        <w:numPr>
          <w:ilvl w:val="0"/>
          <w:numId w:val="48"/>
        </w:numPr>
      </w:pPr>
      <w:r>
        <w:rPr>
          <w:rFonts w:hint="eastAsia"/>
        </w:rPr>
        <w:t>将物业服务企业、医疗机构、患者作为评价方进行评价：每月开展不少于</w:t>
      </w:r>
      <w:r>
        <w:rPr>
          <w:rFonts w:ascii="Times New Roman"/>
        </w:rPr>
        <w:t>1</w:t>
      </w:r>
      <w:r>
        <w:rPr>
          <w:rFonts w:hint="eastAsia"/>
        </w:rPr>
        <w:t>次的自我检查并形成报告；每月接受医疗机构质量检查与考核；定时开展服务满意度测评并形成分析报告；</w:t>
      </w:r>
    </w:p>
    <w:p w14:paraId="4DDEFF66">
      <w:pPr>
        <w:pStyle w:val="176"/>
        <w:numPr>
          <w:ilvl w:val="0"/>
          <w:numId w:val="48"/>
        </w:numPr>
      </w:pPr>
      <w:r>
        <w:rPr>
          <w:rFonts w:hint="eastAsia"/>
        </w:rPr>
        <w:t>邀请相关专家或第三方专业机构，对服务质量进行评价。</w:t>
      </w:r>
    </w:p>
    <w:p w14:paraId="7EF8D6C0">
      <w:pPr>
        <w:pStyle w:val="167"/>
      </w:pPr>
      <w:r>
        <w:rPr>
          <w:rFonts w:hint="eastAsia"/>
        </w:rPr>
        <w:t>评价内容包括：</w:t>
      </w:r>
    </w:p>
    <w:p w14:paraId="2B5376C4">
      <w:pPr>
        <w:pStyle w:val="176"/>
        <w:numPr>
          <w:ilvl w:val="0"/>
          <w:numId w:val="49"/>
        </w:numPr>
      </w:pPr>
      <w:r>
        <w:t>服务规范性: 操作是否合规，记录是否完整</w:t>
      </w:r>
      <w:r>
        <w:rPr>
          <w:rFonts w:hint="eastAsia"/>
        </w:rPr>
        <w:t>；</w:t>
      </w:r>
    </w:p>
    <w:p w14:paraId="3C001026">
      <w:pPr>
        <w:pStyle w:val="176"/>
        <w:numPr>
          <w:ilvl w:val="0"/>
          <w:numId w:val="49"/>
        </w:numPr>
      </w:pPr>
      <w:r>
        <w:t>服务时效性: 响应是否及时，服务是否按时</w:t>
      </w:r>
      <w:r>
        <w:rPr>
          <w:rFonts w:hint="eastAsia"/>
        </w:rPr>
        <w:t>；</w:t>
      </w:r>
    </w:p>
    <w:p w14:paraId="69785E90">
      <w:pPr>
        <w:pStyle w:val="176"/>
        <w:numPr>
          <w:ilvl w:val="0"/>
          <w:numId w:val="49"/>
        </w:numPr>
      </w:pPr>
      <w:r>
        <w:t>服务态度: 语言行为是否文明、亲切、有耐心</w:t>
      </w:r>
      <w:r>
        <w:rPr>
          <w:rFonts w:hint="eastAsia"/>
        </w:rPr>
        <w:t>；</w:t>
      </w:r>
    </w:p>
    <w:p w14:paraId="49D0B592">
      <w:pPr>
        <w:pStyle w:val="176"/>
        <w:numPr>
          <w:ilvl w:val="0"/>
          <w:numId w:val="49"/>
        </w:numPr>
      </w:pPr>
      <w:r>
        <w:t>服务效果: 患者清洁度、舒适度、安全状况及情绪状态</w:t>
      </w:r>
      <w:r>
        <w:rPr>
          <w:rFonts w:hint="eastAsia"/>
        </w:rPr>
        <w:t>；</w:t>
      </w:r>
    </w:p>
    <w:p w14:paraId="66D27429">
      <w:pPr>
        <w:pStyle w:val="176"/>
        <w:numPr>
          <w:ilvl w:val="0"/>
          <w:numId w:val="49"/>
        </w:numPr>
      </w:pPr>
      <w:r>
        <w:t>沟通协作: 与医护人员、家属的沟通配合情况</w:t>
      </w:r>
      <w:r>
        <w:rPr>
          <w:rFonts w:hint="eastAsia"/>
        </w:rPr>
        <w:t>；</w:t>
      </w:r>
    </w:p>
    <w:p w14:paraId="32BF25BB">
      <w:pPr>
        <w:pStyle w:val="176"/>
        <w:numPr>
          <w:ilvl w:val="0"/>
          <w:numId w:val="49"/>
        </w:numPr>
      </w:pPr>
      <w:r>
        <w:rPr>
          <w:rFonts w:hint="eastAsia"/>
        </w:rPr>
        <w:t>收费反馈：是否按公示标准收取陪护费用，有无乱收费情况。</w:t>
      </w:r>
    </w:p>
    <w:p w14:paraId="6A1752CB">
      <w:pPr>
        <w:pStyle w:val="107"/>
        <w:spacing w:before="120" w:after="120"/>
      </w:pPr>
      <w:bookmarkStart w:id="106" w:name="_Toc208775450"/>
      <w:bookmarkStart w:id="107" w:name="_Toc211526390"/>
      <w:bookmarkStart w:id="108" w:name="_Toc211527048"/>
      <w:r>
        <w:rPr>
          <w:rFonts w:hint="eastAsia"/>
        </w:rPr>
        <w:t>服务改进</w:t>
      </w:r>
      <w:bookmarkEnd w:id="106"/>
      <w:bookmarkEnd w:id="107"/>
      <w:bookmarkEnd w:id="108"/>
    </w:p>
    <w:p w14:paraId="1BD02A1D">
      <w:pPr>
        <w:pStyle w:val="167"/>
      </w:pPr>
      <w:r>
        <w:rPr>
          <w:rFonts w:hint="eastAsia"/>
        </w:rPr>
        <w:t>建立不合格服务纠正与预防措施程序，对检查中发现的问题和投诉，应立即调查原因，采取纠正措施。</w:t>
      </w:r>
    </w:p>
    <w:p w14:paraId="1BEC5163">
      <w:pPr>
        <w:pStyle w:val="167"/>
      </w:pPr>
      <w:r>
        <w:rPr>
          <w:rFonts w:hint="eastAsia"/>
        </w:rPr>
        <w:t>对共性问题、潜在风险，应制定预防性措施，并纳入培训和质量控制重点。</w:t>
      </w:r>
    </w:p>
    <w:p w14:paraId="53FAF4F1">
      <w:pPr>
        <w:pStyle w:val="167"/>
      </w:pPr>
      <w:r>
        <w:rPr>
          <w:rFonts w:hint="eastAsia"/>
        </w:rPr>
        <w:t>应定期召开质量分析会，分享优秀案例，总结经验教训，持续优化服务流程和管理制度。</w:t>
      </w:r>
    </w:p>
    <w:p w14:paraId="5D93A14F">
      <w:pPr>
        <w:pStyle w:val="107"/>
        <w:numPr>
          <w:ilvl w:val="0"/>
          <w:numId w:val="0"/>
        </w:numPr>
        <w:spacing w:before="120" w:after="120"/>
      </w:pPr>
    </w:p>
    <w:p w14:paraId="107A87F2">
      <w:pPr>
        <w:pStyle w:val="58"/>
        <w:ind w:firstLine="420"/>
      </w:pPr>
    </w:p>
    <w:p w14:paraId="47BE1486">
      <w:pPr>
        <w:pStyle w:val="58"/>
        <w:ind w:firstLine="420"/>
      </w:pPr>
    </w:p>
    <w:p w14:paraId="622628B4">
      <w:pPr>
        <w:pStyle w:val="58"/>
        <w:ind w:firstLine="420"/>
      </w:pPr>
    </w:p>
    <w:p w14:paraId="6CF45AED">
      <w:pPr>
        <w:pStyle w:val="58"/>
        <w:ind w:firstLine="420"/>
      </w:pPr>
    </w:p>
    <w:p w14:paraId="7551389F">
      <w:pPr>
        <w:pStyle w:val="58"/>
        <w:ind w:firstLine="420"/>
      </w:pPr>
    </w:p>
    <w:p w14:paraId="47F615C9">
      <w:pPr>
        <w:pStyle w:val="58"/>
        <w:ind w:firstLine="420"/>
      </w:pPr>
    </w:p>
    <w:p w14:paraId="46AE9AC2">
      <w:pPr>
        <w:pStyle w:val="58"/>
        <w:ind w:firstLine="420"/>
      </w:pPr>
    </w:p>
    <w:p w14:paraId="3373DD0B">
      <w:pPr>
        <w:pStyle w:val="58"/>
        <w:ind w:firstLine="420"/>
      </w:pPr>
    </w:p>
    <w:p w14:paraId="7EF3BD4B">
      <w:pPr>
        <w:pStyle w:val="58"/>
        <w:ind w:firstLine="420"/>
      </w:pPr>
    </w:p>
    <w:p w14:paraId="67B1DF54">
      <w:pPr>
        <w:pStyle w:val="58"/>
        <w:ind w:firstLine="420"/>
      </w:pPr>
    </w:p>
    <w:p w14:paraId="2DD187BD">
      <w:pPr>
        <w:pStyle w:val="58"/>
        <w:ind w:firstLine="420"/>
      </w:pPr>
    </w:p>
    <w:p w14:paraId="5A51188D">
      <w:pPr>
        <w:pStyle w:val="58"/>
        <w:ind w:firstLine="420"/>
      </w:pPr>
    </w:p>
    <w:p w14:paraId="7427D095">
      <w:pPr>
        <w:pStyle w:val="58"/>
        <w:ind w:firstLine="420"/>
      </w:pPr>
    </w:p>
    <w:p w14:paraId="3679CB88">
      <w:pPr>
        <w:pStyle w:val="58"/>
        <w:ind w:firstLine="420"/>
      </w:pPr>
    </w:p>
    <w:p w14:paraId="7981ED5B">
      <w:pPr>
        <w:pStyle w:val="58"/>
        <w:ind w:firstLine="420"/>
      </w:pPr>
    </w:p>
    <w:p w14:paraId="087BAACE">
      <w:pPr>
        <w:pStyle w:val="58"/>
        <w:ind w:firstLine="420"/>
      </w:pPr>
    </w:p>
    <w:p w14:paraId="0B54664C">
      <w:pPr>
        <w:pStyle w:val="58"/>
        <w:ind w:firstLine="420"/>
      </w:pPr>
    </w:p>
    <w:p w14:paraId="3FE533B2">
      <w:pPr>
        <w:pStyle w:val="58"/>
        <w:ind w:firstLine="420"/>
      </w:pPr>
    </w:p>
    <w:p w14:paraId="56FD1572">
      <w:pPr>
        <w:pStyle w:val="58"/>
        <w:ind w:firstLine="420"/>
      </w:pPr>
    </w:p>
    <w:p w14:paraId="462C91D4">
      <w:pPr>
        <w:pStyle w:val="58"/>
        <w:ind w:firstLine="420"/>
      </w:pPr>
    </w:p>
    <w:p w14:paraId="36E33C92">
      <w:pPr>
        <w:pStyle w:val="58"/>
        <w:ind w:firstLine="420"/>
      </w:pPr>
    </w:p>
    <w:p w14:paraId="46977C9D">
      <w:pPr>
        <w:pStyle w:val="58"/>
        <w:ind w:firstLine="420"/>
      </w:pPr>
    </w:p>
    <w:p w14:paraId="3C946921">
      <w:pPr>
        <w:pStyle w:val="58"/>
        <w:ind w:firstLine="420"/>
      </w:pPr>
    </w:p>
    <w:p w14:paraId="2491E584">
      <w:pPr>
        <w:pStyle w:val="58"/>
        <w:ind w:firstLine="420"/>
      </w:pPr>
    </w:p>
    <w:p w14:paraId="0C1EBA38">
      <w:pPr>
        <w:pStyle w:val="58"/>
        <w:ind w:firstLine="420"/>
      </w:pPr>
    </w:p>
    <w:p w14:paraId="11DAB1D7">
      <w:pPr>
        <w:pStyle w:val="58"/>
        <w:ind w:firstLine="420"/>
      </w:pPr>
    </w:p>
    <w:p w14:paraId="0DE54120">
      <w:pPr>
        <w:pStyle w:val="58"/>
        <w:ind w:firstLine="420"/>
      </w:pPr>
    </w:p>
    <w:p w14:paraId="2F002F0F">
      <w:pPr>
        <w:pStyle w:val="58"/>
        <w:ind w:firstLine="420"/>
      </w:pPr>
    </w:p>
    <w:p w14:paraId="351A2266">
      <w:pPr>
        <w:pStyle w:val="58"/>
        <w:ind w:firstLine="420"/>
      </w:pPr>
    </w:p>
    <w:p w14:paraId="46A675A0">
      <w:pPr>
        <w:pStyle w:val="58"/>
        <w:ind w:firstLine="420"/>
      </w:pPr>
    </w:p>
    <w:p w14:paraId="2E82CC8B">
      <w:pPr>
        <w:pStyle w:val="58"/>
        <w:ind w:firstLine="420"/>
        <w:sectPr>
          <w:pgSz w:w="11906" w:h="16838"/>
          <w:pgMar w:top="1928" w:right="1134" w:bottom="1134" w:left="1134" w:header="1418" w:footer="1134" w:gutter="284"/>
          <w:pgNumType w:start="1"/>
          <w:cols w:space="425" w:num="1"/>
          <w:formProt w:val="0"/>
          <w:docGrid w:linePitch="312" w:charSpace="0"/>
        </w:sectPr>
      </w:pPr>
    </w:p>
    <w:bookmarkEnd w:id="19"/>
    <w:p w14:paraId="77964C3E">
      <w:pPr>
        <w:pStyle w:val="200"/>
        <w:rPr>
          <w:rFonts w:hint="eastAsia"/>
          <w:vanish w:val="0"/>
        </w:rPr>
      </w:pPr>
      <w:bookmarkStart w:id="109" w:name="BookMark5"/>
    </w:p>
    <w:p w14:paraId="3ADA55C9">
      <w:pPr>
        <w:pStyle w:val="201"/>
        <w:rPr>
          <w:vanish w:val="0"/>
        </w:rPr>
      </w:pPr>
    </w:p>
    <w:p w14:paraId="32C07BE4">
      <w:pPr>
        <w:pStyle w:val="78"/>
        <w:spacing w:after="120"/>
      </w:pPr>
      <w:r>
        <w:br w:type="textWrapping"/>
      </w:r>
      <w:bookmarkStart w:id="110" w:name="_Toc211527049"/>
      <w:r>
        <w:rPr>
          <w:rFonts w:hint="eastAsia"/>
        </w:rPr>
        <w:t>（资料性）</w:t>
      </w:r>
      <w:r>
        <w:br w:type="textWrapping"/>
      </w:r>
      <w:r>
        <w:rPr>
          <w:rFonts w:hint="eastAsia"/>
        </w:rPr>
        <w:t>陪护服务工作日志</w:t>
      </w:r>
      <w:bookmarkEnd w:id="110"/>
    </w:p>
    <w:p w14:paraId="1021B390">
      <w:pPr>
        <w:pStyle w:val="58"/>
        <w:ind w:firstLine="420"/>
      </w:pPr>
      <w:r>
        <w:rPr>
          <w:rFonts w:hint="eastAsia"/>
        </w:rPr>
        <w:t>陪护服务工作日志示例见表A.1。</w:t>
      </w:r>
    </w:p>
    <w:p w14:paraId="77F249B1">
      <w:pPr>
        <w:pStyle w:val="79"/>
        <w:spacing w:before="120" w:after="120"/>
        <w:ind w:firstLine="420"/>
      </w:pPr>
      <w:r>
        <w:rPr>
          <w:rFonts w:hint="eastAsia"/>
        </w:rPr>
        <w:t>陪护服务工作日志</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55"/>
        <w:gridCol w:w="954"/>
        <w:gridCol w:w="954"/>
        <w:gridCol w:w="984"/>
        <w:gridCol w:w="955"/>
        <w:gridCol w:w="955"/>
        <w:gridCol w:w="956"/>
        <w:gridCol w:w="956"/>
        <w:gridCol w:w="956"/>
        <w:gridCol w:w="929"/>
      </w:tblGrid>
      <w:tr w14:paraId="145E6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955" w:type="dxa"/>
            <w:tcBorders>
              <w:top w:val="single" w:color="auto" w:sz="8" w:space="0"/>
              <w:bottom w:val="single" w:color="auto" w:sz="8" w:space="0"/>
            </w:tcBorders>
            <w:vAlign w:val="center"/>
          </w:tcPr>
          <w:p w14:paraId="2501F5DA">
            <w:pPr>
              <w:pStyle w:val="180"/>
            </w:pPr>
            <w:r>
              <w:rPr>
                <w:rFonts w:hint="eastAsia"/>
              </w:rPr>
              <w:t>日期/班次</w:t>
            </w:r>
          </w:p>
        </w:tc>
        <w:tc>
          <w:tcPr>
            <w:tcW w:w="954" w:type="dxa"/>
            <w:tcBorders>
              <w:top w:val="single" w:color="auto" w:sz="8" w:space="0"/>
              <w:bottom w:val="single" w:color="auto" w:sz="8" w:space="0"/>
            </w:tcBorders>
            <w:vAlign w:val="center"/>
          </w:tcPr>
          <w:p w14:paraId="57416B0F">
            <w:pPr>
              <w:pStyle w:val="180"/>
            </w:pPr>
            <w:r>
              <w:rPr>
                <w:rFonts w:hint="eastAsia"/>
              </w:rPr>
              <w:t>患者姓名</w:t>
            </w:r>
          </w:p>
        </w:tc>
        <w:tc>
          <w:tcPr>
            <w:tcW w:w="954" w:type="dxa"/>
            <w:tcBorders>
              <w:top w:val="single" w:color="auto" w:sz="8" w:space="0"/>
              <w:bottom w:val="single" w:color="auto" w:sz="8" w:space="0"/>
            </w:tcBorders>
            <w:vAlign w:val="center"/>
          </w:tcPr>
          <w:p w14:paraId="03B50781">
            <w:pPr>
              <w:pStyle w:val="180"/>
            </w:pPr>
            <w:r>
              <w:rPr>
                <w:rFonts w:hint="eastAsia"/>
              </w:rPr>
              <w:t>房/床号</w:t>
            </w:r>
          </w:p>
        </w:tc>
        <w:tc>
          <w:tcPr>
            <w:tcW w:w="984" w:type="dxa"/>
            <w:tcBorders>
              <w:top w:val="single" w:color="auto" w:sz="8" w:space="0"/>
              <w:bottom w:val="single" w:color="auto" w:sz="8" w:space="0"/>
            </w:tcBorders>
            <w:vAlign w:val="center"/>
          </w:tcPr>
          <w:p w14:paraId="52ED864D">
            <w:pPr>
              <w:pStyle w:val="180"/>
            </w:pPr>
            <w:r>
              <w:rPr>
                <w:rFonts w:hint="eastAsia"/>
              </w:rPr>
              <w:t>生命体征（体温、脉搏、呼吸、血压）</w:t>
            </w:r>
          </w:p>
        </w:tc>
        <w:tc>
          <w:tcPr>
            <w:tcW w:w="955" w:type="dxa"/>
            <w:tcBorders>
              <w:top w:val="single" w:color="auto" w:sz="8" w:space="0"/>
              <w:bottom w:val="single" w:color="auto" w:sz="8" w:space="0"/>
            </w:tcBorders>
            <w:vAlign w:val="center"/>
          </w:tcPr>
          <w:p w14:paraId="7D4618C7">
            <w:pPr>
              <w:pStyle w:val="180"/>
            </w:pPr>
            <w:r>
              <w:rPr>
                <w:rFonts w:hint="eastAsia"/>
              </w:rPr>
              <w:t>饮食情况</w:t>
            </w:r>
          </w:p>
        </w:tc>
        <w:tc>
          <w:tcPr>
            <w:tcW w:w="955" w:type="dxa"/>
            <w:tcBorders>
              <w:top w:val="single" w:color="auto" w:sz="8" w:space="0"/>
              <w:bottom w:val="single" w:color="auto" w:sz="8" w:space="0"/>
            </w:tcBorders>
            <w:vAlign w:val="center"/>
          </w:tcPr>
          <w:p w14:paraId="05317E36">
            <w:pPr>
              <w:pStyle w:val="180"/>
            </w:pPr>
            <w:r>
              <w:rPr>
                <w:rFonts w:hint="eastAsia"/>
              </w:rPr>
              <w:t>排泄情况</w:t>
            </w:r>
          </w:p>
        </w:tc>
        <w:tc>
          <w:tcPr>
            <w:tcW w:w="956" w:type="dxa"/>
            <w:tcBorders>
              <w:top w:val="single" w:color="auto" w:sz="8" w:space="0"/>
              <w:bottom w:val="single" w:color="auto" w:sz="8" w:space="0"/>
            </w:tcBorders>
            <w:vAlign w:val="center"/>
          </w:tcPr>
          <w:p w14:paraId="56C39118">
            <w:pPr>
              <w:pStyle w:val="180"/>
            </w:pPr>
            <w:r>
              <w:rPr>
                <w:rFonts w:hint="eastAsia"/>
              </w:rPr>
              <w:t>主要护理操作及时间</w:t>
            </w:r>
          </w:p>
        </w:tc>
        <w:tc>
          <w:tcPr>
            <w:tcW w:w="956" w:type="dxa"/>
            <w:tcBorders>
              <w:top w:val="single" w:color="auto" w:sz="8" w:space="0"/>
              <w:bottom w:val="single" w:color="auto" w:sz="8" w:space="0"/>
            </w:tcBorders>
            <w:vAlign w:val="center"/>
          </w:tcPr>
          <w:p w14:paraId="27A21764">
            <w:pPr>
              <w:pStyle w:val="180"/>
            </w:pPr>
            <w:r>
              <w:rPr>
                <w:rFonts w:hint="eastAsia"/>
              </w:rPr>
              <w:t>特殊情况记录</w:t>
            </w:r>
          </w:p>
        </w:tc>
        <w:tc>
          <w:tcPr>
            <w:tcW w:w="956" w:type="dxa"/>
            <w:tcBorders>
              <w:top w:val="single" w:color="auto" w:sz="8" w:space="0"/>
              <w:bottom w:val="single" w:color="auto" w:sz="8" w:space="0"/>
            </w:tcBorders>
            <w:vAlign w:val="center"/>
          </w:tcPr>
          <w:p w14:paraId="106830B9">
            <w:pPr>
              <w:pStyle w:val="180"/>
            </w:pPr>
            <w:r>
              <w:rPr>
                <w:rFonts w:hint="eastAsia"/>
              </w:rPr>
              <w:t>护士/家属确认</w:t>
            </w:r>
          </w:p>
        </w:tc>
        <w:tc>
          <w:tcPr>
            <w:tcW w:w="929" w:type="dxa"/>
            <w:tcBorders>
              <w:top w:val="single" w:color="auto" w:sz="8" w:space="0"/>
              <w:bottom w:val="single" w:color="auto" w:sz="8" w:space="0"/>
            </w:tcBorders>
            <w:vAlign w:val="center"/>
          </w:tcPr>
          <w:p w14:paraId="0821D113">
            <w:pPr>
              <w:pStyle w:val="180"/>
            </w:pPr>
            <w:r>
              <w:rPr>
                <w:rFonts w:hint="eastAsia"/>
              </w:rPr>
              <w:t>医疗护理员签字</w:t>
            </w:r>
          </w:p>
        </w:tc>
      </w:tr>
      <w:tr w14:paraId="6549D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tcBorders>
              <w:top w:val="single" w:color="auto" w:sz="8" w:space="0"/>
            </w:tcBorders>
            <w:vAlign w:val="center"/>
          </w:tcPr>
          <w:p w14:paraId="0546E83A">
            <w:pPr>
              <w:pStyle w:val="180"/>
            </w:pPr>
          </w:p>
        </w:tc>
        <w:tc>
          <w:tcPr>
            <w:tcW w:w="954" w:type="dxa"/>
            <w:tcBorders>
              <w:top w:val="single" w:color="auto" w:sz="8" w:space="0"/>
            </w:tcBorders>
            <w:vAlign w:val="center"/>
          </w:tcPr>
          <w:p w14:paraId="0C47B398">
            <w:pPr>
              <w:pStyle w:val="180"/>
            </w:pPr>
          </w:p>
        </w:tc>
        <w:tc>
          <w:tcPr>
            <w:tcW w:w="954" w:type="dxa"/>
            <w:tcBorders>
              <w:top w:val="single" w:color="auto" w:sz="8" w:space="0"/>
            </w:tcBorders>
            <w:vAlign w:val="center"/>
          </w:tcPr>
          <w:p w14:paraId="35C17C60">
            <w:pPr>
              <w:pStyle w:val="180"/>
            </w:pPr>
          </w:p>
        </w:tc>
        <w:tc>
          <w:tcPr>
            <w:tcW w:w="984" w:type="dxa"/>
            <w:tcBorders>
              <w:top w:val="single" w:color="auto" w:sz="8" w:space="0"/>
            </w:tcBorders>
            <w:vAlign w:val="center"/>
          </w:tcPr>
          <w:p w14:paraId="5ACD4484">
            <w:pPr>
              <w:pStyle w:val="180"/>
            </w:pPr>
          </w:p>
        </w:tc>
        <w:tc>
          <w:tcPr>
            <w:tcW w:w="955" w:type="dxa"/>
            <w:tcBorders>
              <w:top w:val="single" w:color="auto" w:sz="8" w:space="0"/>
            </w:tcBorders>
            <w:vAlign w:val="center"/>
          </w:tcPr>
          <w:p w14:paraId="0FCA6D66">
            <w:pPr>
              <w:pStyle w:val="180"/>
            </w:pPr>
          </w:p>
        </w:tc>
        <w:tc>
          <w:tcPr>
            <w:tcW w:w="955" w:type="dxa"/>
            <w:tcBorders>
              <w:top w:val="single" w:color="auto" w:sz="8" w:space="0"/>
            </w:tcBorders>
            <w:vAlign w:val="center"/>
          </w:tcPr>
          <w:p w14:paraId="63D395AE">
            <w:pPr>
              <w:pStyle w:val="180"/>
            </w:pPr>
          </w:p>
        </w:tc>
        <w:tc>
          <w:tcPr>
            <w:tcW w:w="956" w:type="dxa"/>
            <w:tcBorders>
              <w:top w:val="single" w:color="auto" w:sz="8" w:space="0"/>
            </w:tcBorders>
            <w:vAlign w:val="center"/>
          </w:tcPr>
          <w:p w14:paraId="472213D2">
            <w:pPr>
              <w:pStyle w:val="180"/>
            </w:pPr>
          </w:p>
        </w:tc>
        <w:tc>
          <w:tcPr>
            <w:tcW w:w="956" w:type="dxa"/>
            <w:tcBorders>
              <w:top w:val="single" w:color="auto" w:sz="8" w:space="0"/>
            </w:tcBorders>
            <w:vAlign w:val="center"/>
          </w:tcPr>
          <w:p w14:paraId="015F3071">
            <w:pPr>
              <w:pStyle w:val="180"/>
            </w:pPr>
          </w:p>
        </w:tc>
        <w:tc>
          <w:tcPr>
            <w:tcW w:w="956" w:type="dxa"/>
            <w:tcBorders>
              <w:top w:val="single" w:color="auto" w:sz="8" w:space="0"/>
            </w:tcBorders>
            <w:vAlign w:val="center"/>
          </w:tcPr>
          <w:p w14:paraId="3BD207AA">
            <w:pPr>
              <w:pStyle w:val="180"/>
            </w:pPr>
          </w:p>
        </w:tc>
        <w:tc>
          <w:tcPr>
            <w:tcW w:w="929" w:type="dxa"/>
            <w:tcBorders>
              <w:top w:val="single" w:color="auto" w:sz="8" w:space="0"/>
            </w:tcBorders>
          </w:tcPr>
          <w:p w14:paraId="037CC979">
            <w:pPr>
              <w:pStyle w:val="180"/>
            </w:pPr>
          </w:p>
        </w:tc>
      </w:tr>
      <w:tr w14:paraId="25956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5C846F0C">
            <w:pPr>
              <w:pStyle w:val="180"/>
            </w:pPr>
          </w:p>
        </w:tc>
        <w:tc>
          <w:tcPr>
            <w:tcW w:w="954" w:type="dxa"/>
            <w:vAlign w:val="center"/>
          </w:tcPr>
          <w:p w14:paraId="5FA50CAE">
            <w:pPr>
              <w:pStyle w:val="180"/>
            </w:pPr>
          </w:p>
        </w:tc>
        <w:tc>
          <w:tcPr>
            <w:tcW w:w="954" w:type="dxa"/>
            <w:vAlign w:val="center"/>
          </w:tcPr>
          <w:p w14:paraId="59E44993">
            <w:pPr>
              <w:pStyle w:val="180"/>
            </w:pPr>
          </w:p>
        </w:tc>
        <w:tc>
          <w:tcPr>
            <w:tcW w:w="984" w:type="dxa"/>
            <w:vAlign w:val="center"/>
          </w:tcPr>
          <w:p w14:paraId="25E7687E">
            <w:pPr>
              <w:pStyle w:val="180"/>
            </w:pPr>
          </w:p>
        </w:tc>
        <w:tc>
          <w:tcPr>
            <w:tcW w:w="955" w:type="dxa"/>
            <w:vAlign w:val="center"/>
          </w:tcPr>
          <w:p w14:paraId="39A06651">
            <w:pPr>
              <w:pStyle w:val="180"/>
            </w:pPr>
          </w:p>
        </w:tc>
        <w:tc>
          <w:tcPr>
            <w:tcW w:w="955" w:type="dxa"/>
            <w:vAlign w:val="center"/>
          </w:tcPr>
          <w:p w14:paraId="59820246">
            <w:pPr>
              <w:pStyle w:val="180"/>
            </w:pPr>
          </w:p>
        </w:tc>
        <w:tc>
          <w:tcPr>
            <w:tcW w:w="956" w:type="dxa"/>
            <w:vAlign w:val="center"/>
          </w:tcPr>
          <w:p w14:paraId="6B9E10E4">
            <w:pPr>
              <w:pStyle w:val="180"/>
            </w:pPr>
          </w:p>
        </w:tc>
        <w:tc>
          <w:tcPr>
            <w:tcW w:w="956" w:type="dxa"/>
            <w:vAlign w:val="center"/>
          </w:tcPr>
          <w:p w14:paraId="29FAF663">
            <w:pPr>
              <w:pStyle w:val="180"/>
            </w:pPr>
          </w:p>
        </w:tc>
        <w:tc>
          <w:tcPr>
            <w:tcW w:w="956" w:type="dxa"/>
            <w:vAlign w:val="center"/>
          </w:tcPr>
          <w:p w14:paraId="1BCAFBAC">
            <w:pPr>
              <w:pStyle w:val="180"/>
            </w:pPr>
          </w:p>
        </w:tc>
        <w:tc>
          <w:tcPr>
            <w:tcW w:w="929" w:type="dxa"/>
          </w:tcPr>
          <w:p w14:paraId="5525C8CE">
            <w:pPr>
              <w:pStyle w:val="180"/>
            </w:pPr>
          </w:p>
        </w:tc>
      </w:tr>
      <w:tr w14:paraId="093A7E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6E939F8D">
            <w:pPr>
              <w:pStyle w:val="180"/>
            </w:pPr>
          </w:p>
        </w:tc>
        <w:tc>
          <w:tcPr>
            <w:tcW w:w="954" w:type="dxa"/>
            <w:vAlign w:val="center"/>
          </w:tcPr>
          <w:p w14:paraId="305CDE95">
            <w:pPr>
              <w:pStyle w:val="180"/>
            </w:pPr>
          </w:p>
        </w:tc>
        <w:tc>
          <w:tcPr>
            <w:tcW w:w="954" w:type="dxa"/>
            <w:vAlign w:val="center"/>
          </w:tcPr>
          <w:p w14:paraId="75D3C56E">
            <w:pPr>
              <w:pStyle w:val="180"/>
            </w:pPr>
          </w:p>
        </w:tc>
        <w:tc>
          <w:tcPr>
            <w:tcW w:w="984" w:type="dxa"/>
            <w:vAlign w:val="center"/>
          </w:tcPr>
          <w:p w14:paraId="5849FBDB">
            <w:pPr>
              <w:pStyle w:val="180"/>
            </w:pPr>
          </w:p>
        </w:tc>
        <w:tc>
          <w:tcPr>
            <w:tcW w:w="955" w:type="dxa"/>
            <w:vAlign w:val="center"/>
          </w:tcPr>
          <w:p w14:paraId="294FD3CE">
            <w:pPr>
              <w:pStyle w:val="180"/>
            </w:pPr>
          </w:p>
        </w:tc>
        <w:tc>
          <w:tcPr>
            <w:tcW w:w="955" w:type="dxa"/>
            <w:vAlign w:val="center"/>
          </w:tcPr>
          <w:p w14:paraId="767D581B">
            <w:pPr>
              <w:pStyle w:val="180"/>
            </w:pPr>
          </w:p>
        </w:tc>
        <w:tc>
          <w:tcPr>
            <w:tcW w:w="956" w:type="dxa"/>
            <w:vAlign w:val="center"/>
          </w:tcPr>
          <w:p w14:paraId="41A9EE95">
            <w:pPr>
              <w:pStyle w:val="180"/>
            </w:pPr>
          </w:p>
        </w:tc>
        <w:tc>
          <w:tcPr>
            <w:tcW w:w="956" w:type="dxa"/>
            <w:vAlign w:val="center"/>
          </w:tcPr>
          <w:p w14:paraId="2F329DD3">
            <w:pPr>
              <w:pStyle w:val="180"/>
            </w:pPr>
          </w:p>
        </w:tc>
        <w:tc>
          <w:tcPr>
            <w:tcW w:w="956" w:type="dxa"/>
            <w:vAlign w:val="center"/>
          </w:tcPr>
          <w:p w14:paraId="43DD7D5F">
            <w:pPr>
              <w:pStyle w:val="180"/>
            </w:pPr>
          </w:p>
        </w:tc>
        <w:tc>
          <w:tcPr>
            <w:tcW w:w="929" w:type="dxa"/>
          </w:tcPr>
          <w:p w14:paraId="231F778F">
            <w:pPr>
              <w:pStyle w:val="180"/>
            </w:pPr>
          </w:p>
        </w:tc>
      </w:tr>
      <w:tr w14:paraId="784B46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241FF7E9">
            <w:pPr>
              <w:pStyle w:val="180"/>
            </w:pPr>
          </w:p>
        </w:tc>
        <w:tc>
          <w:tcPr>
            <w:tcW w:w="954" w:type="dxa"/>
            <w:vAlign w:val="center"/>
          </w:tcPr>
          <w:p w14:paraId="79767344">
            <w:pPr>
              <w:pStyle w:val="180"/>
            </w:pPr>
          </w:p>
        </w:tc>
        <w:tc>
          <w:tcPr>
            <w:tcW w:w="954" w:type="dxa"/>
            <w:vAlign w:val="center"/>
          </w:tcPr>
          <w:p w14:paraId="5030FECC">
            <w:pPr>
              <w:pStyle w:val="180"/>
            </w:pPr>
          </w:p>
        </w:tc>
        <w:tc>
          <w:tcPr>
            <w:tcW w:w="984" w:type="dxa"/>
            <w:vAlign w:val="center"/>
          </w:tcPr>
          <w:p w14:paraId="02ABC522">
            <w:pPr>
              <w:pStyle w:val="180"/>
            </w:pPr>
          </w:p>
        </w:tc>
        <w:tc>
          <w:tcPr>
            <w:tcW w:w="955" w:type="dxa"/>
            <w:vAlign w:val="center"/>
          </w:tcPr>
          <w:p w14:paraId="12B667D8">
            <w:pPr>
              <w:pStyle w:val="180"/>
            </w:pPr>
          </w:p>
        </w:tc>
        <w:tc>
          <w:tcPr>
            <w:tcW w:w="955" w:type="dxa"/>
            <w:vAlign w:val="center"/>
          </w:tcPr>
          <w:p w14:paraId="7ABA8FAD">
            <w:pPr>
              <w:pStyle w:val="180"/>
            </w:pPr>
          </w:p>
        </w:tc>
        <w:tc>
          <w:tcPr>
            <w:tcW w:w="956" w:type="dxa"/>
            <w:vAlign w:val="center"/>
          </w:tcPr>
          <w:p w14:paraId="6226D841">
            <w:pPr>
              <w:pStyle w:val="180"/>
            </w:pPr>
          </w:p>
        </w:tc>
        <w:tc>
          <w:tcPr>
            <w:tcW w:w="956" w:type="dxa"/>
            <w:vAlign w:val="center"/>
          </w:tcPr>
          <w:p w14:paraId="074331EC">
            <w:pPr>
              <w:pStyle w:val="180"/>
            </w:pPr>
          </w:p>
        </w:tc>
        <w:tc>
          <w:tcPr>
            <w:tcW w:w="956" w:type="dxa"/>
            <w:vAlign w:val="center"/>
          </w:tcPr>
          <w:p w14:paraId="37DEEB53">
            <w:pPr>
              <w:pStyle w:val="180"/>
            </w:pPr>
          </w:p>
        </w:tc>
        <w:tc>
          <w:tcPr>
            <w:tcW w:w="929" w:type="dxa"/>
          </w:tcPr>
          <w:p w14:paraId="7DF698A7">
            <w:pPr>
              <w:pStyle w:val="180"/>
            </w:pPr>
          </w:p>
        </w:tc>
      </w:tr>
      <w:tr w14:paraId="6262A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10"/>
            <w:vAlign w:val="center"/>
          </w:tcPr>
          <w:p w14:paraId="7ACE9623">
            <w:pPr>
              <w:pStyle w:val="181"/>
            </w:pPr>
            <w:r>
              <w:rPr>
                <w:rFonts w:hint="eastAsia"/>
              </w:rPr>
              <w:t>重要病情变化、突发事件应在“特殊情况记录”栏中详细记录，并立即报告护士。</w:t>
            </w:r>
          </w:p>
        </w:tc>
      </w:tr>
    </w:tbl>
    <w:p w14:paraId="7C4D781D">
      <w:pPr>
        <w:pStyle w:val="58"/>
        <w:ind w:firstLine="420"/>
      </w:pPr>
    </w:p>
    <w:p w14:paraId="0353FD8D">
      <w:pPr>
        <w:pStyle w:val="58"/>
        <w:ind w:firstLine="420"/>
      </w:pPr>
    </w:p>
    <w:p w14:paraId="1B79CD89">
      <w:pPr>
        <w:pStyle w:val="58"/>
        <w:ind w:firstLine="420"/>
      </w:pPr>
    </w:p>
    <w:p w14:paraId="591B4206">
      <w:pPr>
        <w:pStyle w:val="58"/>
        <w:ind w:firstLine="420"/>
        <w:sectPr>
          <w:pgSz w:w="11906" w:h="16838"/>
          <w:pgMar w:top="1928" w:right="1134" w:bottom="1134" w:left="1134" w:header="1418" w:footer="1134" w:gutter="284"/>
          <w:cols w:space="425" w:num="1"/>
          <w:formProt w:val="0"/>
          <w:docGrid w:linePitch="312" w:charSpace="0"/>
        </w:sectPr>
      </w:pPr>
    </w:p>
    <w:p w14:paraId="332E6334">
      <w:pPr>
        <w:pStyle w:val="200"/>
        <w:rPr>
          <w:rFonts w:hint="eastAsia"/>
          <w:vanish w:val="0"/>
        </w:rPr>
      </w:pPr>
    </w:p>
    <w:p w14:paraId="11071D60">
      <w:pPr>
        <w:pStyle w:val="201"/>
        <w:rPr>
          <w:vanish w:val="0"/>
        </w:rPr>
      </w:pPr>
    </w:p>
    <w:p w14:paraId="2F797464">
      <w:pPr>
        <w:pStyle w:val="78"/>
        <w:spacing w:after="120"/>
      </w:pPr>
      <w:r>
        <w:br w:type="textWrapping"/>
      </w:r>
      <w:bookmarkStart w:id="111" w:name="_Toc211527050"/>
      <w:r>
        <w:rPr>
          <w:rFonts w:hint="eastAsia"/>
        </w:rPr>
        <w:t>（资料性）</w:t>
      </w:r>
      <w:r>
        <w:br w:type="textWrapping"/>
      </w:r>
      <w:r>
        <w:rPr>
          <w:rFonts w:hint="eastAsia"/>
        </w:rPr>
        <w:t>Barthel指标评定方法</w:t>
      </w:r>
      <w:bookmarkEnd w:id="111"/>
    </w:p>
    <w:p w14:paraId="4B961BF7">
      <w:pPr>
        <w:pStyle w:val="80"/>
        <w:spacing w:before="120" w:after="120"/>
        <w:ind w:firstLine="420"/>
      </w:pPr>
      <w:bookmarkStart w:id="112" w:name="_Toc211526393"/>
      <w:bookmarkStart w:id="113" w:name="_Toc211527051"/>
      <w:r>
        <w:rPr>
          <w:rFonts w:hint="eastAsia"/>
        </w:rPr>
        <w:t>Barthel指标评定量表</w:t>
      </w:r>
      <w:bookmarkEnd w:id="112"/>
      <w:bookmarkEnd w:id="113"/>
    </w:p>
    <w:p w14:paraId="58BBA620">
      <w:pPr>
        <w:pStyle w:val="58"/>
        <w:ind w:firstLine="420"/>
      </w:pPr>
      <w:r>
        <w:rPr>
          <w:rFonts w:hint="eastAsia"/>
        </w:rPr>
        <w:t>表B.1给出了Barthel指标评定量表。</w:t>
      </w:r>
    </w:p>
    <w:p w14:paraId="31E0F9D6">
      <w:pPr>
        <w:pStyle w:val="79"/>
        <w:spacing w:before="120" w:after="120"/>
        <w:ind w:firstLine="420"/>
      </w:pPr>
      <w:r>
        <w:rPr>
          <w:rFonts w:hint="eastAsia"/>
        </w:rPr>
        <w:t>Barthel指标评定量表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93"/>
        <w:gridCol w:w="1593"/>
        <w:gridCol w:w="1592"/>
        <w:gridCol w:w="1592"/>
        <w:gridCol w:w="1810"/>
        <w:gridCol w:w="1374"/>
      </w:tblGrid>
      <w:tr w14:paraId="133A4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8" w:space="0"/>
              <w:left w:val="single" w:color="auto" w:sz="8" w:space="0"/>
              <w:bottom w:val="single" w:color="auto" w:sz="8" w:space="0"/>
              <w:right w:val="single" w:color="auto" w:sz="4" w:space="0"/>
            </w:tcBorders>
            <w:vAlign w:val="center"/>
          </w:tcPr>
          <w:p w14:paraId="1EDD42E9">
            <w:pPr>
              <w:pStyle w:val="58"/>
              <w:ind w:firstLine="420"/>
            </w:pPr>
            <w:r>
              <w:rPr>
                <w:rFonts w:hint="eastAsia"/>
              </w:rPr>
              <w:t>序号</w:t>
            </w:r>
          </w:p>
        </w:tc>
        <w:tc>
          <w:tcPr>
            <w:tcW w:w="1593" w:type="dxa"/>
            <w:tcBorders>
              <w:top w:val="single" w:color="auto" w:sz="8" w:space="0"/>
              <w:left w:val="single" w:color="auto" w:sz="4" w:space="0"/>
              <w:bottom w:val="single" w:color="auto" w:sz="8" w:space="0"/>
              <w:right w:val="single" w:color="auto" w:sz="4" w:space="0"/>
            </w:tcBorders>
            <w:vAlign w:val="center"/>
          </w:tcPr>
          <w:p w14:paraId="295CB904">
            <w:pPr>
              <w:pStyle w:val="58"/>
              <w:ind w:firstLine="420"/>
            </w:pPr>
            <w:r>
              <w:rPr>
                <w:rFonts w:hint="eastAsia"/>
              </w:rPr>
              <w:t>项目</w:t>
            </w:r>
          </w:p>
        </w:tc>
        <w:tc>
          <w:tcPr>
            <w:tcW w:w="1592" w:type="dxa"/>
            <w:tcBorders>
              <w:top w:val="single" w:color="auto" w:sz="8" w:space="0"/>
              <w:left w:val="single" w:color="auto" w:sz="4" w:space="0"/>
              <w:bottom w:val="single" w:color="auto" w:sz="8" w:space="0"/>
              <w:right w:val="single" w:color="auto" w:sz="4" w:space="0"/>
            </w:tcBorders>
            <w:vAlign w:val="center"/>
          </w:tcPr>
          <w:p w14:paraId="65329628">
            <w:pPr>
              <w:pStyle w:val="58"/>
              <w:ind w:firstLine="420"/>
            </w:pPr>
            <w:r>
              <w:rPr>
                <w:rFonts w:hint="eastAsia"/>
              </w:rPr>
              <w:t>完全独立</w:t>
            </w:r>
          </w:p>
        </w:tc>
        <w:tc>
          <w:tcPr>
            <w:tcW w:w="1592" w:type="dxa"/>
            <w:tcBorders>
              <w:top w:val="single" w:color="auto" w:sz="8" w:space="0"/>
              <w:left w:val="single" w:color="auto" w:sz="4" w:space="0"/>
              <w:bottom w:val="single" w:color="auto" w:sz="8" w:space="0"/>
              <w:right w:val="single" w:color="auto" w:sz="4" w:space="0"/>
            </w:tcBorders>
            <w:vAlign w:val="center"/>
          </w:tcPr>
          <w:p w14:paraId="60B77637">
            <w:pPr>
              <w:pStyle w:val="58"/>
              <w:ind w:firstLine="0" w:firstLineChars="0"/>
            </w:pPr>
            <w:r>
              <w:rPr>
                <w:rFonts w:hint="eastAsia"/>
              </w:rPr>
              <w:t>部分需要帮助</w:t>
            </w:r>
          </w:p>
        </w:tc>
        <w:tc>
          <w:tcPr>
            <w:tcW w:w="1810" w:type="dxa"/>
            <w:tcBorders>
              <w:top w:val="single" w:color="auto" w:sz="8" w:space="0"/>
              <w:left w:val="single" w:color="auto" w:sz="4" w:space="0"/>
              <w:bottom w:val="single" w:color="auto" w:sz="8" w:space="0"/>
              <w:right w:val="single" w:color="auto" w:sz="4" w:space="0"/>
            </w:tcBorders>
            <w:vAlign w:val="center"/>
          </w:tcPr>
          <w:p w14:paraId="793EF538">
            <w:pPr>
              <w:pStyle w:val="58"/>
              <w:ind w:firstLine="0" w:firstLineChars="0"/>
            </w:pPr>
            <w:r>
              <w:rPr>
                <w:rFonts w:hint="eastAsia"/>
              </w:rPr>
              <w:t>大部分需要帮助</w:t>
            </w:r>
          </w:p>
        </w:tc>
        <w:tc>
          <w:tcPr>
            <w:tcW w:w="1374" w:type="dxa"/>
            <w:tcBorders>
              <w:top w:val="single" w:color="auto" w:sz="8" w:space="0"/>
              <w:left w:val="single" w:color="auto" w:sz="4" w:space="0"/>
              <w:bottom w:val="single" w:color="auto" w:sz="8" w:space="0"/>
              <w:right w:val="single" w:color="auto" w:sz="8" w:space="0"/>
            </w:tcBorders>
            <w:vAlign w:val="center"/>
          </w:tcPr>
          <w:p w14:paraId="7F524BFE">
            <w:pPr>
              <w:pStyle w:val="58"/>
              <w:ind w:firstLine="420"/>
            </w:pPr>
            <w:r>
              <w:rPr>
                <w:rFonts w:hint="eastAsia"/>
              </w:rPr>
              <w:t>完全依赖</w:t>
            </w:r>
          </w:p>
        </w:tc>
      </w:tr>
      <w:tr w14:paraId="57425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8" w:space="0"/>
              <w:left w:val="single" w:color="auto" w:sz="8" w:space="0"/>
              <w:bottom w:val="single" w:color="auto" w:sz="4" w:space="0"/>
              <w:right w:val="single" w:color="auto" w:sz="4" w:space="0"/>
            </w:tcBorders>
            <w:vAlign w:val="center"/>
          </w:tcPr>
          <w:p w14:paraId="3E2D56E5">
            <w:pPr>
              <w:pStyle w:val="58"/>
              <w:ind w:firstLine="420"/>
            </w:pPr>
            <w:r>
              <w:rPr>
                <w:rFonts w:hint="eastAsia"/>
              </w:rPr>
              <w:t>1</w:t>
            </w:r>
          </w:p>
        </w:tc>
        <w:tc>
          <w:tcPr>
            <w:tcW w:w="1593" w:type="dxa"/>
            <w:tcBorders>
              <w:top w:val="single" w:color="auto" w:sz="8" w:space="0"/>
              <w:left w:val="single" w:color="auto" w:sz="4" w:space="0"/>
              <w:bottom w:val="single" w:color="auto" w:sz="4" w:space="0"/>
              <w:right w:val="single" w:color="auto" w:sz="4" w:space="0"/>
            </w:tcBorders>
            <w:vAlign w:val="center"/>
          </w:tcPr>
          <w:p w14:paraId="6C6B75D7">
            <w:pPr>
              <w:pStyle w:val="58"/>
              <w:ind w:firstLine="420"/>
            </w:pPr>
            <w:r>
              <w:rPr>
                <w:rFonts w:hint="eastAsia"/>
              </w:rPr>
              <w:t>进食</w:t>
            </w:r>
          </w:p>
        </w:tc>
        <w:tc>
          <w:tcPr>
            <w:tcW w:w="1592" w:type="dxa"/>
            <w:tcBorders>
              <w:top w:val="single" w:color="auto" w:sz="8" w:space="0"/>
              <w:left w:val="single" w:color="auto" w:sz="4" w:space="0"/>
              <w:bottom w:val="single" w:color="auto" w:sz="4" w:space="0"/>
              <w:right w:val="single" w:color="auto" w:sz="4" w:space="0"/>
            </w:tcBorders>
            <w:vAlign w:val="center"/>
          </w:tcPr>
          <w:p w14:paraId="7194B376">
            <w:pPr>
              <w:pStyle w:val="58"/>
              <w:ind w:firstLine="420"/>
            </w:pPr>
            <w:r>
              <w:rPr>
                <w:rFonts w:hint="eastAsia"/>
              </w:rPr>
              <w:t>10</w:t>
            </w:r>
          </w:p>
        </w:tc>
        <w:tc>
          <w:tcPr>
            <w:tcW w:w="1592" w:type="dxa"/>
            <w:tcBorders>
              <w:top w:val="single" w:color="auto" w:sz="8" w:space="0"/>
              <w:left w:val="single" w:color="auto" w:sz="4" w:space="0"/>
              <w:bottom w:val="single" w:color="auto" w:sz="4" w:space="0"/>
              <w:right w:val="single" w:color="auto" w:sz="4" w:space="0"/>
            </w:tcBorders>
            <w:vAlign w:val="center"/>
          </w:tcPr>
          <w:p w14:paraId="70B5A788">
            <w:pPr>
              <w:pStyle w:val="58"/>
              <w:ind w:firstLine="420"/>
            </w:pPr>
            <w:r>
              <w:rPr>
                <w:rFonts w:hint="eastAsia"/>
              </w:rPr>
              <w:t>5</w:t>
            </w:r>
          </w:p>
        </w:tc>
        <w:tc>
          <w:tcPr>
            <w:tcW w:w="1810" w:type="dxa"/>
            <w:tcBorders>
              <w:top w:val="single" w:color="auto" w:sz="8" w:space="0"/>
              <w:left w:val="single" w:color="auto" w:sz="4" w:space="0"/>
              <w:bottom w:val="single" w:color="auto" w:sz="4" w:space="0"/>
              <w:right w:val="single" w:color="auto" w:sz="4" w:space="0"/>
            </w:tcBorders>
            <w:vAlign w:val="center"/>
          </w:tcPr>
          <w:p w14:paraId="03E8FB61">
            <w:pPr>
              <w:pStyle w:val="58"/>
              <w:ind w:firstLine="420"/>
            </w:pPr>
            <w:r>
              <w:rPr>
                <w:rFonts w:hint="eastAsia"/>
              </w:rPr>
              <w:t>0</w:t>
            </w:r>
          </w:p>
        </w:tc>
        <w:tc>
          <w:tcPr>
            <w:tcW w:w="1374" w:type="dxa"/>
            <w:tcBorders>
              <w:top w:val="single" w:color="auto" w:sz="8" w:space="0"/>
              <w:left w:val="single" w:color="auto" w:sz="4" w:space="0"/>
              <w:bottom w:val="single" w:color="auto" w:sz="4" w:space="0"/>
              <w:right w:val="single" w:color="auto" w:sz="8" w:space="0"/>
            </w:tcBorders>
            <w:vAlign w:val="center"/>
          </w:tcPr>
          <w:p w14:paraId="1C006C2B">
            <w:pPr>
              <w:pStyle w:val="58"/>
              <w:ind w:firstLine="420"/>
            </w:pPr>
            <w:r>
              <w:rPr>
                <w:rFonts w:hint="eastAsia"/>
              </w:rPr>
              <w:t>—</w:t>
            </w:r>
          </w:p>
        </w:tc>
      </w:tr>
      <w:tr w14:paraId="13002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27DEB5E7">
            <w:pPr>
              <w:pStyle w:val="58"/>
              <w:ind w:firstLine="420"/>
            </w:pPr>
            <w:r>
              <w:rPr>
                <w:rFonts w:hint="eastAsia"/>
              </w:rPr>
              <w:t>2</w:t>
            </w:r>
          </w:p>
        </w:tc>
        <w:tc>
          <w:tcPr>
            <w:tcW w:w="1593" w:type="dxa"/>
            <w:tcBorders>
              <w:top w:val="single" w:color="auto" w:sz="4" w:space="0"/>
              <w:left w:val="single" w:color="auto" w:sz="4" w:space="0"/>
              <w:bottom w:val="single" w:color="auto" w:sz="4" w:space="0"/>
              <w:right w:val="single" w:color="auto" w:sz="4" w:space="0"/>
            </w:tcBorders>
            <w:vAlign w:val="center"/>
          </w:tcPr>
          <w:p w14:paraId="25F52F65">
            <w:pPr>
              <w:pStyle w:val="58"/>
              <w:ind w:firstLine="420"/>
            </w:pPr>
            <w:r>
              <w:rPr>
                <w:rFonts w:hint="eastAsia"/>
              </w:rPr>
              <w:t>洗澡</w:t>
            </w:r>
          </w:p>
        </w:tc>
        <w:tc>
          <w:tcPr>
            <w:tcW w:w="1592" w:type="dxa"/>
            <w:tcBorders>
              <w:top w:val="single" w:color="auto" w:sz="4" w:space="0"/>
              <w:left w:val="single" w:color="auto" w:sz="4" w:space="0"/>
              <w:bottom w:val="single" w:color="auto" w:sz="4" w:space="0"/>
              <w:right w:val="single" w:color="auto" w:sz="4" w:space="0"/>
            </w:tcBorders>
            <w:vAlign w:val="center"/>
          </w:tcPr>
          <w:p w14:paraId="4A27EC50">
            <w:pPr>
              <w:pStyle w:val="58"/>
              <w:ind w:firstLine="420"/>
            </w:pPr>
            <w:r>
              <w:rPr>
                <w:rFonts w:hint="eastAsia"/>
              </w:rPr>
              <w:t>5</w:t>
            </w:r>
          </w:p>
        </w:tc>
        <w:tc>
          <w:tcPr>
            <w:tcW w:w="1592" w:type="dxa"/>
            <w:tcBorders>
              <w:top w:val="single" w:color="auto" w:sz="4" w:space="0"/>
              <w:left w:val="single" w:color="auto" w:sz="4" w:space="0"/>
              <w:bottom w:val="single" w:color="auto" w:sz="4" w:space="0"/>
              <w:right w:val="single" w:color="auto" w:sz="4" w:space="0"/>
            </w:tcBorders>
            <w:vAlign w:val="center"/>
          </w:tcPr>
          <w:p w14:paraId="78A1A2DC">
            <w:pPr>
              <w:pStyle w:val="58"/>
              <w:ind w:firstLine="420"/>
            </w:pPr>
            <w:r>
              <w:rPr>
                <w:rFonts w:hint="eastAsia"/>
              </w:rPr>
              <w:t>0</w:t>
            </w:r>
          </w:p>
        </w:tc>
        <w:tc>
          <w:tcPr>
            <w:tcW w:w="1810" w:type="dxa"/>
            <w:tcBorders>
              <w:top w:val="single" w:color="auto" w:sz="4" w:space="0"/>
              <w:left w:val="single" w:color="auto" w:sz="4" w:space="0"/>
              <w:bottom w:val="single" w:color="auto" w:sz="4" w:space="0"/>
              <w:right w:val="single" w:color="auto" w:sz="4" w:space="0"/>
            </w:tcBorders>
            <w:vAlign w:val="center"/>
          </w:tcPr>
          <w:p w14:paraId="6BF1BE0B">
            <w:pPr>
              <w:pStyle w:val="58"/>
              <w:ind w:firstLine="420"/>
            </w:pPr>
            <w:r>
              <w:rPr>
                <w:rFonts w:hint="eastAsia"/>
              </w:rPr>
              <w:t>—</w:t>
            </w:r>
          </w:p>
        </w:tc>
        <w:tc>
          <w:tcPr>
            <w:tcW w:w="1374" w:type="dxa"/>
            <w:tcBorders>
              <w:top w:val="single" w:color="auto" w:sz="4" w:space="0"/>
              <w:left w:val="single" w:color="auto" w:sz="4" w:space="0"/>
              <w:bottom w:val="single" w:color="auto" w:sz="4" w:space="0"/>
              <w:right w:val="single" w:color="auto" w:sz="8" w:space="0"/>
            </w:tcBorders>
            <w:vAlign w:val="center"/>
          </w:tcPr>
          <w:p w14:paraId="34148A08">
            <w:pPr>
              <w:pStyle w:val="58"/>
              <w:ind w:firstLine="420"/>
            </w:pPr>
            <w:r>
              <w:rPr>
                <w:rFonts w:hint="eastAsia"/>
              </w:rPr>
              <w:t>—</w:t>
            </w:r>
          </w:p>
        </w:tc>
      </w:tr>
      <w:tr w14:paraId="10A77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08D4A9A6">
            <w:pPr>
              <w:pStyle w:val="58"/>
              <w:ind w:firstLine="420"/>
            </w:pPr>
            <w:r>
              <w:rPr>
                <w:rFonts w:hint="eastAsia"/>
              </w:rPr>
              <w:t>3</w:t>
            </w:r>
          </w:p>
        </w:tc>
        <w:tc>
          <w:tcPr>
            <w:tcW w:w="1593" w:type="dxa"/>
            <w:tcBorders>
              <w:top w:val="single" w:color="auto" w:sz="4" w:space="0"/>
              <w:left w:val="single" w:color="auto" w:sz="4" w:space="0"/>
              <w:bottom w:val="single" w:color="auto" w:sz="4" w:space="0"/>
              <w:right w:val="single" w:color="auto" w:sz="4" w:space="0"/>
            </w:tcBorders>
            <w:vAlign w:val="center"/>
          </w:tcPr>
          <w:p w14:paraId="617CFE06">
            <w:pPr>
              <w:pStyle w:val="58"/>
              <w:ind w:firstLine="420"/>
            </w:pPr>
            <w:r>
              <w:rPr>
                <w:rFonts w:hint="eastAsia"/>
              </w:rPr>
              <w:t>修饰</w:t>
            </w:r>
          </w:p>
        </w:tc>
        <w:tc>
          <w:tcPr>
            <w:tcW w:w="1592" w:type="dxa"/>
            <w:tcBorders>
              <w:top w:val="single" w:color="auto" w:sz="4" w:space="0"/>
              <w:left w:val="single" w:color="auto" w:sz="4" w:space="0"/>
              <w:bottom w:val="single" w:color="auto" w:sz="4" w:space="0"/>
              <w:right w:val="single" w:color="auto" w:sz="4" w:space="0"/>
            </w:tcBorders>
            <w:vAlign w:val="center"/>
          </w:tcPr>
          <w:p w14:paraId="132A1947">
            <w:pPr>
              <w:pStyle w:val="58"/>
              <w:ind w:firstLine="420"/>
            </w:pPr>
            <w:r>
              <w:rPr>
                <w:rFonts w:hint="eastAsia"/>
              </w:rPr>
              <w:t>5</w:t>
            </w:r>
          </w:p>
        </w:tc>
        <w:tc>
          <w:tcPr>
            <w:tcW w:w="1592" w:type="dxa"/>
            <w:tcBorders>
              <w:top w:val="single" w:color="auto" w:sz="4" w:space="0"/>
              <w:left w:val="single" w:color="auto" w:sz="4" w:space="0"/>
              <w:bottom w:val="single" w:color="auto" w:sz="4" w:space="0"/>
              <w:right w:val="single" w:color="auto" w:sz="4" w:space="0"/>
            </w:tcBorders>
            <w:vAlign w:val="center"/>
          </w:tcPr>
          <w:p w14:paraId="51187E40">
            <w:pPr>
              <w:pStyle w:val="58"/>
              <w:ind w:firstLine="420"/>
            </w:pPr>
            <w:r>
              <w:rPr>
                <w:rFonts w:hint="eastAsia"/>
              </w:rPr>
              <w:t>0</w:t>
            </w:r>
          </w:p>
        </w:tc>
        <w:tc>
          <w:tcPr>
            <w:tcW w:w="1810" w:type="dxa"/>
            <w:tcBorders>
              <w:top w:val="single" w:color="auto" w:sz="4" w:space="0"/>
              <w:left w:val="single" w:color="auto" w:sz="4" w:space="0"/>
              <w:bottom w:val="single" w:color="auto" w:sz="4" w:space="0"/>
              <w:right w:val="single" w:color="auto" w:sz="4" w:space="0"/>
            </w:tcBorders>
            <w:vAlign w:val="center"/>
          </w:tcPr>
          <w:p w14:paraId="33B045B3">
            <w:pPr>
              <w:pStyle w:val="58"/>
              <w:ind w:firstLine="420"/>
            </w:pPr>
            <w:r>
              <w:rPr>
                <w:rFonts w:hint="eastAsia"/>
              </w:rPr>
              <w:t>—</w:t>
            </w:r>
          </w:p>
        </w:tc>
        <w:tc>
          <w:tcPr>
            <w:tcW w:w="1374" w:type="dxa"/>
            <w:tcBorders>
              <w:top w:val="single" w:color="auto" w:sz="4" w:space="0"/>
              <w:left w:val="single" w:color="auto" w:sz="4" w:space="0"/>
              <w:bottom w:val="single" w:color="auto" w:sz="4" w:space="0"/>
              <w:right w:val="single" w:color="auto" w:sz="8" w:space="0"/>
            </w:tcBorders>
            <w:vAlign w:val="center"/>
          </w:tcPr>
          <w:p w14:paraId="0C6EC5D0">
            <w:pPr>
              <w:pStyle w:val="58"/>
              <w:ind w:firstLine="420"/>
            </w:pPr>
            <w:r>
              <w:rPr>
                <w:rFonts w:hint="eastAsia"/>
              </w:rPr>
              <w:t>—</w:t>
            </w:r>
          </w:p>
        </w:tc>
      </w:tr>
      <w:tr w14:paraId="1F0CD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02BE5E98">
            <w:pPr>
              <w:pStyle w:val="58"/>
              <w:ind w:firstLine="420"/>
            </w:pPr>
            <w:r>
              <w:rPr>
                <w:rFonts w:hint="eastAsia"/>
              </w:rPr>
              <w:t>4</w:t>
            </w:r>
          </w:p>
        </w:tc>
        <w:tc>
          <w:tcPr>
            <w:tcW w:w="1593" w:type="dxa"/>
            <w:tcBorders>
              <w:top w:val="single" w:color="auto" w:sz="4" w:space="0"/>
              <w:left w:val="single" w:color="auto" w:sz="4" w:space="0"/>
              <w:bottom w:val="single" w:color="auto" w:sz="4" w:space="0"/>
              <w:right w:val="single" w:color="auto" w:sz="4" w:space="0"/>
            </w:tcBorders>
            <w:vAlign w:val="center"/>
          </w:tcPr>
          <w:p w14:paraId="5C3F966E">
            <w:pPr>
              <w:pStyle w:val="58"/>
              <w:ind w:firstLine="0" w:firstLineChars="0"/>
            </w:pPr>
            <w:r>
              <w:rPr>
                <w:rFonts w:hint="eastAsia"/>
              </w:rPr>
              <w:t>穿（脱）衣服</w:t>
            </w:r>
          </w:p>
        </w:tc>
        <w:tc>
          <w:tcPr>
            <w:tcW w:w="1592" w:type="dxa"/>
            <w:tcBorders>
              <w:top w:val="single" w:color="auto" w:sz="4" w:space="0"/>
              <w:left w:val="single" w:color="auto" w:sz="4" w:space="0"/>
              <w:bottom w:val="single" w:color="auto" w:sz="4" w:space="0"/>
              <w:right w:val="single" w:color="auto" w:sz="4" w:space="0"/>
            </w:tcBorders>
            <w:vAlign w:val="center"/>
          </w:tcPr>
          <w:p w14:paraId="0E7AD00F">
            <w:pPr>
              <w:pStyle w:val="58"/>
              <w:ind w:firstLine="420"/>
            </w:pPr>
            <w:r>
              <w:rPr>
                <w:rFonts w:hint="eastAsia"/>
              </w:rPr>
              <w:t>10</w:t>
            </w:r>
          </w:p>
        </w:tc>
        <w:tc>
          <w:tcPr>
            <w:tcW w:w="1592" w:type="dxa"/>
            <w:tcBorders>
              <w:top w:val="single" w:color="auto" w:sz="4" w:space="0"/>
              <w:left w:val="single" w:color="auto" w:sz="4" w:space="0"/>
              <w:bottom w:val="single" w:color="auto" w:sz="4" w:space="0"/>
              <w:right w:val="single" w:color="auto" w:sz="4" w:space="0"/>
            </w:tcBorders>
            <w:vAlign w:val="center"/>
          </w:tcPr>
          <w:p w14:paraId="188C8E9E">
            <w:pPr>
              <w:pStyle w:val="58"/>
              <w:ind w:firstLine="420"/>
            </w:pPr>
            <w:r>
              <w:rPr>
                <w:rFonts w:hint="eastAsia"/>
              </w:rPr>
              <w:t>5</w:t>
            </w:r>
          </w:p>
        </w:tc>
        <w:tc>
          <w:tcPr>
            <w:tcW w:w="1810" w:type="dxa"/>
            <w:tcBorders>
              <w:top w:val="single" w:color="auto" w:sz="4" w:space="0"/>
              <w:left w:val="single" w:color="auto" w:sz="4" w:space="0"/>
              <w:bottom w:val="single" w:color="auto" w:sz="4" w:space="0"/>
              <w:right w:val="single" w:color="auto" w:sz="4" w:space="0"/>
            </w:tcBorders>
            <w:vAlign w:val="center"/>
          </w:tcPr>
          <w:p w14:paraId="6347FB98">
            <w:pPr>
              <w:pStyle w:val="58"/>
              <w:ind w:firstLine="420"/>
            </w:pPr>
            <w:r>
              <w:rPr>
                <w:rFonts w:hint="eastAsia"/>
              </w:rPr>
              <w:t>0</w:t>
            </w:r>
          </w:p>
        </w:tc>
        <w:tc>
          <w:tcPr>
            <w:tcW w:w="1374" w:type="dxa"/>
            <w:tcBorders>
              <w:top w:val="single" w:color="auto" w:sz="4" w:space="0"/>
              <w:left w:val="single" w:color="auto" w:sz="4" w:space="0"/>
              <w:bottom w:val="single" w:color="auto" w:sz="4" w:space="0"/>
              <w:right w:val="single" w:color="auto" w:sz="8" w:space="0"/>
            </w:tcBorders>
            <w:vAlign w:val="center"/>
          </w:tcPr>
          <w:p w14:paraId="5B8BD8E6">
            <w:pPr>
              <w:pStyle w:val="58"/>
              <w:ind w:firstLine="420"/>
            </w:pPr>
            <w:r>
              <w:rPr>
                <w:rFonts w:hint="eastAsia"/>
              </w:rPr>
              <w:t>—</w:t>
            </w:r>
          </w:p>
        </w:tc>
      </w:tr>
      <w:tr w14:paraId="598E32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49DBCAC0">
            <w:pPr>
              <w:pStyle w:val="58"/>
              <w:ind w:firstLine="420"/>
            </w:pPr>
            <w:r>
              <w:rPr>
                <w:rFonts w:hint="eastAsia"/>
              </w:rPr>
              <w:t>5</w:t>
            </w:r>
          </w:p>
        </w:tc>
        <w:tc>
          <w:tcPr>
            <w:tcW w:w="1593" w:type="dxa"/>
            <w:tcBorders>
              <w:top w:val="single" w:color="auto" w:sz="4" w:space="0"/>
              <w:left w:val="single" w:color="auto" w:sz="4" w:space="0"/>
              <w:bottom w:val="single" w:color="auto" w:sz="4" w:space="0"/>
              <w:right w:val="single" w:color="auto" w:sz="4" w:space="0"/>
            </w:tcBorders>
            <w:vAlign w:val="center"/>
          </w:tcPr>
          <w:p w14:paraId="0FFDFBD3">
            <w:pPr>
              <w:pStyle w:val="58"/>
              <w:ind w:firstLine="420"/>
            </w:pPr>
            <w:r>
              <w:rPr>
                <w:rFonts w:hint="eastAsia"/>
              </w:rPr>
              <w:t>大小便</w:t>
            </w:r>
          </w:p>
        </w:tc>
        <w:tc>
          <w:tcPr>
            <w:tcW w:w="1592" w:type="dxa"/>
            <w:tcBorders>
              <w:top w:val="single" w:color="auto" w:sz="4" w:space="0"/>
              <w:left w:val="single" w:color="auto" w:sz="4" w:space="0"/>
              <w:bottom w:val="single" w:color="auto" w:sz="4" w:space="0"/>
              <w:right w:val="single" w:color="auto" w:sz="4" w:space="0"/>
            </w:tcBorders>
            <w:vAlign w:val="center"/>
          </w:tcPr>
          <w:p w14:paraId="1DB2797D">
            <w:pPr>
              <w:pStyle w:val="58"/>
              <w:ind w:firstLine="420"/>
            </w:pPr>
            <w:r>
              <w:rPr>
                <w:rFonts w:hint="eastAsia"/>
              </w:rPr>
              <w:t>10</w:t>
            </w:r>
          </w:p>
        </w:tc>
        <w:tc>
          <w:tcPr>
            <w:tcW w:w="1592" w:type="dxa"/>
            <w:tcBorders>
              <w:top w:val="single" w:color="auto" w:sz="4" w:space="0"/>
              <w:left w:val="single" w:color="auto" w:sz="4" w:space="0"/>
              <w:bottom w:val="single" w:color="auto" w:sz="4" w:space="0"/>
              <w:right w:val="single" w:color="auto" w:sz="4" w:space="0"/>
            </w:tcBorders>
            <w:vAlign w:val="center"/>
          </w:tcPr>
          <w:p w14:paraId="62EB6DD9">
            <w:pPr>
              <w:pStyle w:val="58"/>
              <w:ind w:firstLine="420"/>
            </w:pPr>
            <w:r>
              <w:rPr>
                <w:rFonts w:hint="eastAsia"/>
              </w:rPr>
              <w:t>5</w:t>
            </w:r>
          </w:p>
        </w:tc>
        <w:tc>
          <w:tcPr>
            <w:tcW w:w="1810" w:type="dxa"/>
            <w:tcBorders>
              <w:top w:val="single" w:color="auto" w:sz="4" w:space="0"/>
              <w:left w:val="single" w:color="auto" w:sz="4" w:space="0"/>
              <w:bottom w:val="single" w:color="auto" w:sz="4" w:space="0"/>
              <w:right w:val="single" w:color="auto" w:sz="4" w:space="0"/>
            </w:tcBorders>
            <w:vAlign w:val="center"/>
          </w:tcPr>
          <w:p w14:paraId="7CE21BEF">
            <w:pPr>
              <w:pStyle w:val="58"/>
              <w:ind w:firstLine="420"/>
            </w:pPr>
            <w:r>
              <w:rPr>
                <w:rFonts w:hint="eastAsia"/>
              </w:rPr>
              <w:t>0</w:t>
            </w:r>
          </w:p>
        </w:tc>
        <w:tc>
          <w:tcPr>
            <w:tcW w:w="1374" w:type="dxa"/>
            <w:tcBorders>
              <w:top w:val="single" w:color="auto" w:sz="4" w:space="0"/>
              <w:left w:val="single" w:color="auto" w:sz="4" w:space="0"/>
              <w:bottom w:val="single" w:color="auto" w:sz="4" w:space="0"/>
              <w:right w:val="single" w:color="auto" w:sz="8" w:space="0"/>
            </w:tcBorders>
            <w:vAlign w:val="center"/>
          </w:tcPr>
          <w:p w14:paraId="09569491">
            <w:pPr>
              <w:pStyle w:val="58"/>
              <w:ind w:firstLine="420"/>
            </w:pPr>
            <w:r>
              <w:rPr>
                <w:rFonts w:hint="eastAsia"/>
              </w:rPr>
              <w:t>—</w:t>
            </w:r>
          </w:p>
        </w:tc>
      </w:tr>
      <w:tr w14:paraId="669A1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3F26D3D7">
            <w:pPr>
              <w:pStyle w:val="58"/>
              <w:ind w:firstLine="420"/>
            </w:pPr>
            <w:r>
              <w:rPr>
                <w:rFonts w:hint="eastAsia"/>
              </w:rPr>
              <w:t>6</w:t>
            </w:r>
          </w:p>
        </w:tc>
        <w:tc>
          <w:tcPr>
            <w:tcW w:w="1593" w:type="dxa"/>
            <w:tcBorders>
              <w:top w:val="single" w:color="auto" w:sz="4" w:space="0"/>
              <w:left w:val="single" w:color="auto" w:sz="4" w:space="0"/>
              <w:bottom w:val="single" w:color="auto" w:sz="4" w:space="0"/>
              <w:right w:val="single" w:color="auto" w:sz="4" w:space="0"/>
            </w:tcBorders>
            <w:vAlign w:val="center"/>
          </w:tcPr>
          <w:p w14:paraId="4F99B87F">
            <w:pPr>
              <w:pStyle w:val="58"/>
              <w:ind w:firstLine="420"/>
            </w:pPr>
            <w:r>
              <w:rPr>
                <w:rFonts w:hint="eastAsia"/>
              </w:rPr>
              <w:t>如厕</w:t>
            </w:r>
          </w:p>
        </w:tc>
        <w:tc>
          <w:tcPr>
            <w:tcW w:w="1592" w:type="dxa"/>
            <w:tcBorders>
              <w:top w:val="single" w:color="auto" w:sz="4" w:space="0"/>
              <w:left w:val="single" w:color="auto" w:sz="4" w:space="0"/>
              <w:bottom w:val="single" w:color="auto" w:sz="4" w:space="0"/>
              <w:right w:val="single" w:color="auto" w:sz="4" w:space="0"/>
            </w:tcBorders>
            <w:vAlign w:val="center"/>
          </w:tcPr>
          <w:p w14:paraId="5747AE5C">
            <w:pPr>
              <w:pStyle w:val="58"/>
              <w:ind w:firstLine="420"/>
            </w:pPr>
            <w:r>
              <w:rPr>
                <w:rFonts w:hint="eastAsia"/>
              </w:rPr>
              <w:t>10</w:t>
            </w:r>
          </w:p>
        </w:tc>
        <w:tc>
          <w:tcPr>
            <w:tcW w:w="1592" w:type="dxa"/>
            <w:tcBorders>
              <w:top w:val="single" w:color="auto" w:sz="4" w:space="0"/>
              <w:left w:val="single" w:color="auto" w:sz="4" w:space="0"/>
              <w:bottom w:val="single" w:color="auto" w:sz="4" w:space="0"/>
              <w:right w:val="single" w:color="auto" w:sz="4" w:space="0"/>
            </w:tcBorders>
            <w:vAlign w:val="center"/>
          </w:tcPr>
          <w:p w14:paraId="73F8F189">
            <w:pPr>
              <w:pStyle w:val="58"/>
              <w:ind w:firstLine="420"/>
            </w:pPr>
            <w:r>
              <w:rPr>
                <w:rFonts w:hint="eastAsia"/>
              </w:rPr>
              <w:t>5</w:t>
            </w:r>
          </w:p>
        </w:tc>
        <w:tc>
          <w:tcPr>
            <w:tcW w:w="1810" w:type="dxa"/>
            <w:tcBorders>
              <w:top w:val="single" w:color="auto" w:sz="4" w:space="0"/>
              <w:left w:val="single" w:color="auto" w:sz="4" w:space="0"/>
              <w:bottom w:val="single" w:color="auto" w:sz="4" w:space="0"/>
              <w:right w:val="single" w:color="auto" w:sz="4" w:space="0"/>
            </w:tcBorders>
            <w:vAlign w:val="center"/>
          </w:tcPr>
          <w:p w14:paraId="3057071D">
            <w:pPr>
              <w:pStyle w:val="58"/>
              <w:ind w:firstLine="420"/>
            </w:pPr>
            <w:r>
              <w:rPr>
                <w:rFonts w:hint="eastAsia"/>
              </w:rPr>
              <w:t>0</w:t>
            </w:r>
          </w:p>
        </w:tc>
        <w:tc>
          <w:tcPr>
            <w:tcW w:w="1374" w:type="dxa"/>
            <w:tcBorders>
              <w:top w:val="single" w:color="auto" w:sz="4" w:space="0"/>
              <w:left w:val="single" w:color="auto" w:sz="4" w:space="0"/>
              <w:bottom w:val="single" w:color="auto" w:sz="4" w:space="0"/>
              <w:right w:val="single" w:color="auto" w:sz="8" w:space="0"/>
            </w:tcBorders>
            <w:vAlign w:val="center"/>
          </w:tcPr>
          <w:p w14:paraId="15B89E35">
            <w:pPr>
              <w:pStyle w:val="58"/>
              <w:ind w:firstLine="420"/>
            </w:pPr>
            <w:r>
              <w:rPr>
                <w:rFonts w:hint="eastAsia"/>
              </w:rPr>
              <w:t>—</w:t>
            </w:r>
          </w:p>
        </w:tc>
      </w:tr>
      <w:tr w14:paraId="566D7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3FE50ABC">
            <w:pPr>
              <w:pStyle w:val="58"/>
              <w:ind w:firstLine="420"/>
            </w:pPr>
            <w:r>
              <w:rPr>
                <w:rFonts w:hint="eastAsia"/>
              </w:rPr>
              <w:t>7</w:t>
            </w:r>
          </w:p>
        </w:tc>
        <w:tc>
          <w:tcPr>
            <w:tcW w:w="1593" w:type="dxa"/>
            <w:tcBorders>
              <w:top w:val="single" w:color="auto" w:sz="4" w:space="0"/>
              <w:left w:val="single" w:color="auto" w:sz="4" w:space="0"/>
              <w:bottom w:val="single" w:color="auto" w:sz="4" w:space="0"/>
              <w:right w:val="single" w:color="auto" w:sz="4" w:space="0"/>
            </w:tcBorders>
            <w:vAlign w:val="center"/>
          </w:tcPr>
          <w:p w14:paraId="50D99A20">
            <w:pPr>
              <w:pStyle w:val="58"/>
              <w:ind w:firstLine="420"/>
            </w:pPr>
            <w:r>
              <w:rPr>
                <w:rFonts w:hint="eastAsia"/>
              </w:rPr>
              <w:t>床上移动</w:t>
            </w:r>
          </w:p>
        </w:tc>
        <w:tc>
          <w:tcPr>
            <w:tcW w:w="1592" w:type="dxa"/>
            <w:tcBorders>
              <w:top w:val="single" w:color="auto" w:sz="4" w:space="0"/>
              <w:left w:val="single" w:color="auto" w:sz="4" w:space="0"/>
              <w:bottom w:val="single" w:color="auto" w:sz="4" w:space="0"/>
              <w:right w:val="single" w:color="auto" w:sz="4" w:space="0"/>
            </w:tcBorders>
            <w:vAlign w:val="center"/>
          </w:tcPr>
          <w:p w14:paraId="46FA9092">
            <w:pPr>
              <w:pStyle w:val="58"/>
              <w:ind w:firstLine="420"/>
            </w:pPr>
            <w:r>
              <w:rPr>
                <w:rFonts w:hint="eastAsia"/>
              </w:rPr>
              <w:t>10</w:t>
            </w:r>
          </w:p>
        </w:tc>
        <w:tc>
          <w:tcPr>
            <w:tcW w:w="1592" w:type="dxa"/>
            <w:tcBorders>
              <w:top w:val="single" w:color="auto" w:sz="4" w:space="0"/>
              <w:left w:val="single" w:color="auto" w:sz="4" w:space="0"/>
              <w:bottom w:val="single" w:color="auto" w:sz="4" w:space="0"/>
              <w:right w:val="single" w:color="auto" w:sz="4" w:space="0"/>
            </w:tcBorders>
            <w:vAlign w:val="center"/>
          </w:tcPr>
          <w:p w14:paraId="15890DCE">
            <w:pPr>
              <w:pStyle w:val="58"/>
              <w:ind w:firstLine="420"/>
            </w:pPr>
            <w:r>
              <w:rPr>
                <w:rFonts w:hint="eastAsia"/>
              </w:rPr>
              <w:t>5</w:t>
            </w:r>
          </w:p>
        </w:tc>
        <w:tc>
          <w:tcPr>
            <w:tcW w:w="1810" w:type="dxa"/>
            <w:tcBorders>
              <w:top w:val="single" w:color="auto" w:sz="4" w:space="0"/>
              <w:left w:val="single" w:color="auto" w:sz="4" w:space="0"/>
              <w:bottom w:val="single" w:color="auto" w:sz="4" w:space="0"/>
              <w:right w:val="single" w:color="auto" w:sz="4" w:space="0"/>
            </w:tcBorders>
            <w:vAlign w:val="center"/>
          </w:tcPr>
          <w:p w14:paraId="45E3465E">
            <w:pPr>
              <w:pStyle w:val="58"/>
              <w:ind w:firstLine="420"/>
            </w:pPr>
            <w:r>
              <w:rPr>
                <w:rFonts w:hint="eastAsia"/>
              </w:rPr>
              <w:t>5</w:t>
            </w:r>
          </w:p>
        </w:tc>
        <w:tc>
          <w:tcPr>
            <w:tcW w:w="1374" w:type="dxa"/>
            <w:tcBorders>
              <w:top w:val="single" w:color="auto" w:sz="4" w:space="0"/>
              <w:left w:val="single" w:color="auto" w:sz="4" w:space="0"/>
              <w:bottom w:val="single" w:color="auto" w:sz="4" w:space="0"/>
              <w:right w:val="single" w:color="auto" w:sz="8" w:space="0"/>
            </w:tcBorders>
            <w:vAlign w:val="center"/>
          </w:tcPr>
          <w:p w14:paraId="3B0F5645">
            <w:pPr>
              <w:pStyle w:val="58"/>
              <w:ind w:firstLine="420"/>
            </w:pPr>
            <w:bookmarkStart w:id="114" w:name="OLE_LINK1"/>
            <w:r>
              <w:rPr>
                <w:rFonts w:hint="eastAsia"/>
              </w:rPr>
              <w:t>—</w:t>
            </w:r>
            <w:bookmarkEnd w:id="114"/>
          </w:p>
        </w:tc>
      </w:tr>
      <w:tr w14:paraId="0C96E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3FB786C8">
            <w:pPr>
              <w:pStyle w:val="58"/>
              <w:ind w:firstLine="420"/>
            </w:pPr>
            <w:r>
              <w:rPr>
                <w:rFonts w:hint="eastAsia"/>
              </w:rPr>
              <w:t>8</w:t>
            </w:r>
          </w:p>
        </w:tc>
        <w:tc>
          <w:tcPr>
            <w:tcW w:w="1593" w:type="dxa"/>
            <w:tcBorders>
              <w:top w:val="single" w:color="auto" w:sz="4" w:space="0"/>
              <w:left w:val="single" w:color="auto" w:sz="4" w:space="0"/>
              <w:bottom w:val="single" w:color="auto" w:sz="4" w:space="0"/>
              <w:right w:val="single" w:color="auto" w:sz="4" w:space="0"/>
            </w:tcBorders>
            <w:vAlign w:val="center"/>
          </w:tcPr>
          <w:p w14:paraId="7EBA74A7">
            <w:pPr>
              <w:pStyle w:val="58"/>
              <w:ind w:firstLine="420"/>
            </w:pPr>
            <w:r>
              <w:rPr>
                <w:rFonts w:hint="eastAsia"/>
              </w:rPr>
              <w:t>床边移动</w:t>
            </w:r>
          </w:p>
        </w:tc>
        <w:tc>
          <w:tcPr>
            <w:tcW w:w="1592" w:type="dxa"/>
            <w:tcBorders>
              <w:top w:val="single" w:color="auto" w:sz="4" w:space="0"/>
              <w:left w:val="single" w:color="auto" w:sz="4" w:space="0"/>
              <w:bottom w:val="single" w:color="auto" w:sz="4" w:space="0"/>
              <w:right w:val="single" w:color="auto" w:sz="4" w:space="0"/>
            </w:tcBorders>
            <w:vAlign w:val="center"/>
          </w:tcPr>
          <w:p w14:paraId="521A2E3E">
            <w:pPr>
              <w:pStyle w:val="58"/>
              <w:ind w:firstLine="420"/>
            </w:pPr>
            <w:r>
              <w:rPr>
                <w:rFonts w:hint="eastAsia"/>
              </w:rPr>
              <w:t>10</w:t>
            </w:r>
          </w:p>
        </w:tc>
        <w:tc>
          <w:tcPr>
            <w:tcW w:w="1592" w:type="dxa"/>
            <w:tcBorders>
              <w:top w:val="single" w:color="auto" w:sz="4" w:space="0"/>
              <w:left w:val="single" w:color="auto" w:sz="4" w:space="0"/>
              <w:bottom w:val="single" w:color="auto" w:sz="4" w:space="0"/>
              <w:right w:val="single" w:color="auto" w:sz="4" w:space="0"/>
            </w:tcBorders>
            <w:vAlign w:val="center"/>
          </w:tcPr>
          <w:p w14:paraId="516CD8DD">
            <w:pPr>
              <w:pStyle w:val="58"/>
              <w:ind w:firstLine="420"/>
            </w:pPr>
            <w:r>
              <w:rPr>
                <w:rFonts w:hint="eastAsia"/>
              </w:rPr>
              <w:t>10</w:t>
            </w:r>
          </w:p>
        </w:tc>
        <w:tc>
          <w:tcPr>
            <w:tcW w:w="1810" w:type="dxa"/>
            <w:tcBorders>
              <w:top w:val="single" w:color="auto" w:sz="4" w:space="0"/>
              <w:left w:val="single" w:color="auto" w:sz="4" w:space="0"/>
              <w:bottom w:val="single" w:color="auto" w:sz="4" w:space="0"/>
              <w:right w:val="single" w:color="auto" w:sz="4" w:space="0"/>
            </w:tcBorders>
            <w:vAlign w:val="center"/>
          </w:tcPr>
          <w:p w14:paraId="57C8760B">
            <w:pPr>
              <w:pStyle w:val="58"/>
              <w:ind w:firstLine="420"/>
            </w:pPr>
            <w:r>
              <w:rPr>
                <w:rFonts w:hint="eastAsia"/>
              </w:rPr>
              <w:t>5</w:t>
            </w:r>
          </w:p>
        </w:tc>
        <w:tc>
          <w:tcPr>
            <w:tcW w:w="1374" w:type="dxa"/>
            <w:tcBorders>
              <w:top w:val="single" w:color="auto" w:sz="4" w:space="0"/>
              <w:left w:val="single" w:color="auto" w:sz="4" w:space="0"/>
              <w:bottom w:val="single" w:color="auto" w:sz="4" w:space="0"/>
              <w:right w:val="single" w:color="auto" w:sz="8" w:space="0"/>
            </w:tcBorders>
            <w:vAlign w:val="center"/>
          </w:tcPr>
          <w:p w14:paraId="40656315">
            <w:pPr>
              <w:pStyle w:val="58"/>
              <w:ind w:firstLine="420"/>
            </w:pPr>
            <w:r>
              <w:rPr>
                <w:rFonts w:hint="eastAsia"/>
              </w:rPr>
              <w:t>0</w:t>
            </w:r>
          </w:p>
        </w:tc>
      </w:tr>
      <w:tr w14:paraId="297BF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139D2C3F">
            <w:pPr>
              <w:pStyle w:val="58"/>
              <w:ind w:firstLine="420"/>
            </w:pPr>
            <w:r>
              <w:rPr>
                <w:rFonts w:hint="eastAsia"/>
              </w:rPr>
              <w:t>9</w:t>
            </w:r>
          </w:p>
        </w:tc>
        <w:tc>
          <w:tcPr>
            <w:tcW w:w="1593" w:type="dxa"/>
            <w:tcBorders>
              <w:top w:val="single" w:color="auto" w:sz="4" w:space="0"/>
              <w:left w:val="single" w:color="auto" w:sz="4" w:space="0"/>
              <w:bottom w:val="single" w:color="auto" w:sz="4" w:space="0"/>
              <w:right w:val="single" w:color="auto" w:sz="4" w:space="0"/>
            </w:tcBorders>
            <w:vAlign w:val="center"/>
          </w:tcPr>
          <w:p w14:paraId="0FB72EFA">
            <w:pPr>
              <w:pStyle w:val="58"/>
              <w:ind w:firstLine="0" w:firstLineChars="0"/>
              <w:jc w:val="center"/>
            </w:pPr>
            <w:r>
              <w:rPr>
                <w:rFonts w:hint="eastAsia"/>
              </w:rPr>
              <w:t>病区内移动</w:t>
            </w:r>
          </w:p>
        </w:tc>
        <w:tc>
          <w:tcPr>
            <w:tcW w:w="1592" w:type="dxa"/>
            <w:tcBorders>
              <w:top w:val="single" w:color="auto" w:sz="4" w:space="0"/>
              <w:left w:val="single" w:color="auto" w:sz="4" w:space="0"/>
              <w:bottom w:val="single" w:color="auto" w:sz="4" w:space="0"/>
              <w:right w:val="single" w:color="auto" w:sz="4" w:space="0"/>
            </w:tcBorders>
            <w:vAlign w:val="center"/>
          </w:tcPr>
          <w:p w14:paraId="0191E83E">
            <w:pPr>
              <w:pStyle w:val="58"/>
              <w:ind w:firstLine="420"/>
            </w:pPr>
            <w:r>
              <w:rPr>
                <w:rFonts w:hint="eastAsia"/>
              </w:rPr>
              <w:t>15</w:t>
            </w:r>
          </w:p>
        </w:tc>
        <w:tc>
          <w:tcPr>
            <w:tcW w:w="1592" w:type="dxa"/>
            <w:tcBorders>
              <w:top w:val="single" w:color="auto" w:sz="4" w:space="0"/>
              <w:left w:val="single" w:color="auto" w:sz="4" w:space="0"/>
              <w:bottom w:val="single" w:color="auto" w:sz="4" w:space="0"/>
              <w:right w:val="single" w:color="auto" w:sz="4" w:space="0"/>
            </w:tcBorders>
            <w:vAlign w:val="center"/>
          </w:tcPr>
          <w:p w14:paraId="55874792">
            <w:pPr>
              <w:pStyle w:val="58"/>
              <w:ind w:firstLine="420"/>
            </w:pPr>
            <w:r>
              <w:rPr>
                <w:rFonts w:hint="eastAsia"/>
              </w:rPr>
              <w:t>10</w:t>
            </w:r>
          </w:p>
        </w:tc>
        <w:tc>
          <w:tcPr>
            <w:tcW w:w="1810" w:type="dxa"/>
            <w:tcBorders>
              <w:top w:val="single" w:color="auto" w:sz="4" w:space="0"/>
              <w:left w:val="single" w:color="auto" w:sz="4" w:space="0"/>
              <w:bottom w:val="single" w:color="auto" w:sz="4" w:space="0"/>
              <w:right w:val="single" w:color="auto" w:sz="4" w:space="0"/>
            </w:tcBorders>
            <w:vAlign w:val="center"/>
          </w:tcPr>
          <w:p w14:paraId="41D19CF5">
            <w:pPr>
              <w:pStyle w:val="58"/>
              <w:ind w:firstLine="420"/>
            </w:pPr>
            <w:r>
              <w:rPr>
                <w:rFonts w:hint="eastAsia"/>
              </w:rPr>
              <w:t>5</w:t>
            </w:r>
          </w:p>
        </w:tc>
        <w:tc>
          <w:tcPr>
            <w:tcW w:w="1374" w:type="dxa"/>
            <w:tcBorders>
              <w:top w:val="single" w:color="auto" w:sz="4" w:space="0"/>
              <w:left w:val="single" w:color="auto" w:sz="4" w:space="0"/>
              <w:bottom w:val="single" w:color="auto" w:sz="4" w:space="0"/>
              <w:right w:val="single" w:color="auto" w:sz="8" w:space="0"/>
            </w:tcBorders>
            <w:vAlign w:val="center"/>
          </w:tcPr>
          <w:p w14:paraId="217F3E0B">
            <w:pPr>
              <w:pStyle w:val="58"/>
              <w:ind w:firstLine="420"/>
            </w:pPr>
            <w:r>
              <w:rPr>
                <w:rFonts w:hint="eastAsia"/>
              </w:rPr>
              <w:t>0</w:t>
            </w:r>
          </w:p>
        </w:tc>
      </w:tr>
      <w:tr w14:paraId="2F4CA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93" w:type="dxa"/>
            <w:tcBorders>
              <w:top w:val="single" w:color="auto" w:sz="4" w:space="0"/>
              <w:left w:val="single" w:color="auto" w:sz="8" w:space="0"/>
              <w:bottom w:val="single" w:color="auto" w:sz="4" w:space="0"/>
              <w:right w:val="single" w:color="auto" w:sz="4" w:space="0"/>
            </w:tcBorders>
            <w:vAlign w:val="center"/>
          </w:tcPr>
          <w:p w14:paraId="143568B9">
            <w:pPr>
              <w:pStyle w:val="58"/>
              <w:ind w:firstLine="420"/>
            </w:pPr>
            <w:r>
              <w:rPr>
                <w:rFonts w:hint="eastAsia"/>
              </w:rPr>
              <w:t>10</w:t>
            </w:r>
          </w:p>
        </w:tc>
        <w:tc>
          <w:tcPr>
            <w:tcW w:w="1593" w:type="dxa"/>
            <w:tcBorders>
              <w:top w:val="single" w:color="auto" w:sz="4" w:space="0"/>
              <w:left w:val="single" w:color="auto" w:sz="4" w:space="0"/>
              <w:bottom w:val="single" w:color="auto" w:sz="4" w:space="0"/>
              <w:right w:val="single" w:color="auto" w:sz="4" w:space="0"/>
            </w:tcBorders>
            <w:vAlign w:val="center"/>
          </w:tcPr>
          <w:p w14:paraId="5FFF2F10">
            <w:pPr>
              <w:pStyle w:val="58"/>
              <w:ind w:firstLine="0" w:firstLineChars="0"/>
              <w:jc w:val="center"/>
            </w:pPr>
            <w:r>
              <w:rPr>
                <w:rFonts w:hint="eastAsia"/>
              </w:rPr>
              <w:t>出病区行走</w:t>
            </w:r>
          </w:p>
        </w:tc>
        <w:tc>
          <w:tcPr>
            <w:tcW w:w="1592" w:type="dxa"/>
            <w:tcBorders>
              <w:top w:val="single" w:color="auto" w:sz="4" w:space="0"/>
              <w:left w:val="single" w:color="auto" w:sz="4" w:space="0"/>
              <w:bottom w:val="single" w:color="auto" w:sz="4" w:space="0"/>
              <w:right w:val="single" w:color="auto" w:sz="4" w:space="0"/>
            </w:tcBorders>
            <w:vAlign w:val="center"/>
          </w:tcPr>
          <w:p w14:paraId="5BBD58F2">
            <w:pPr>
              <w:pStyle w:val="58"/>
              <w:ind w:firstLine="420"/>
            </w:pPr>
            <w:r>
              <w:rPr>
                <w:rFonts w:hint="eastAsia"/>
              </w:rPr>
              <w:t>15</w:t>
            </w:r>
          </w:p>
        </w:tc>
        <w:tc>
          <w:tcPr>
            <w:tcW w:w="1592" w:type="dxa"/>
            <w:tcBorders>
              <w:top w:val="single" w:color="auto" w:sz="4" w:space="0"/>
              <w:left w:val="single" w:color="auto" w:sz="4" w:space="0"/>
              <w:bottom w:val="single" w:color="auto" w:sz="4" w:space="0"/>
              <w:right w:val="single" w:color="auto" w:sz="4" w:space="0"/>
            </w:tcBorders>
            <w:vAlign w:val="center"/>
          </w:tcPr>
          <w:p w14:paraId="0A0A177B">
            <w:pPr>
              <w:pStyle w:val="58"/>
              <w:ind w:firstLine="420"/>
            </w:pPr>
            <w:r>
              <w:rPr>
                <w:rFonts w:hint="eastAsia"/>
              </w:rPr>
              <w:t>10</w:t>
            </w:r>
          </w:p>
        </w:tc>
        <w:tc>
          <w:tcPr>
            <w:tcW w:w="1810" w:type="dxa"/>
            <w:tcBorders>
              <w:top w:val="single" w:color="auto" w:sz="4" w:space="0"/>
              <w:left w:val="single" w:color="auto" w:sz="4" w:space="0"/>
              <w:bottom w:val="single" w:color="auto" w:sz="4" w:space="0"/>
              <w:right w:val="single" w:color="auto" w:sz="4" w:space="0"/>
            </w:tcBorders>
            <w:vAlign w:val="center"/>
          </w:tcPr>
          <w:p w14:paraId="40337BD0">
            <w:pPr>
              <w:pStyle w:val="58"/>
              <w:ind w:firstLine="420"/>
            </w:pPr>
            <w:r>
              <w:rPr>
                <w:rFonts w:hint="eastAsia"/>
              </w:rPr>
              <w:t>0</w:t>
            </w:r>
          </w:p>
        </w:tc>
        <w:tc>
          <w:tcPr>
            <w:tcW w:w="1374" w:type="dxa"/>
            <w:tcBorders>
              <w:top w:val="single" w:color="auto" w:sz="4" w:space="0"/>
              <w:left w:val="single" w:color="auto" w:sz="4" w:space="0"/>
              <w:bottom w:val="single" w:color="auto" w:sz="4" w:space="0"/>
              <w:right w:val="single" w:color="auto" w:sz="8" w:space="0"/>
            </w:tcBorders>
            <w:vAlign w:val="center"/>
          </w:tcPr>
          <w:p w14:paraId="1221A1E6">
            <w:pPr>
              <w:pStyle w:val="58"/>
              <w:ind w:firstLine="420"/>
            </w:pPr>
            <w:r>
              <w:rPr>
                <w:rFonts w:hint="eastAsia"/>
              </w:rPr>
              <w:t>—</w:t>
            </w:r>
          </w:p>
        </w:tc>
      </w:tr>
      <w:tr w14:paraId="5C09D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6"/>
            <w:tcBorders>
              <w:top w:val="single" w:color="auto" w:sz="4" w:space="0"/>
              <w:left w:val="single" w:color="auto" w:sz="8" w:space="0"/>
              <w:bottom w:val="single" w:color="auto" w:sz="8" w:space="0"/>
              <w:right w:val="single" w:color="auto" w:sz="8" w:space="0"/>
            </w:tcBorders>
            <w:vAlign w:val="center"/>
          </w:tcPr>
          <w:p w14:paraId="2A6411C1">
            <w:pPr>
              <w:pStyle w:val="58"/>
              <w:ind w:firstLine="420"/>
            </w:pPr>
            <w:r>
              <w:rPr>
                <w:rFonts w:hint="eastAsia"/>
              </w:rPr>
              <w:t xml:space="preserve">    Barthel指标评定总分： （     ）分</w:t>
            </w:r>
          </w:p>
        </w:tc>
      </w:tr>
      <w:tr w14:paraId="51630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6"/>
            <w:tcBorders>
              <w:top w:val="single" w:color="auto" w:sz="8" w:space="0"/>
              <w:left w:val="single" w:color="auto" w:sz="8" w:space="0"/>
              <w:bottom w:val="single" w:color="auto" w:sz="8" w:space="0"/>
              <w:right w:val="single" w:color="auto" w:sz="8" w:space="0"/>
            </w:tcBorders>
            <w:vAlign w:val="center"/>
          </w:tcPr>
          <w:p w14:paraId="009E3BA6">
            <w:pPr>
              <w:pStyle w:val="58"/>
              <w:numPr>
                <w:ilvl w:val="0"/>
                <w:numId w:val="50"/>
              </w:numPr>
              <w:ind w:firstLine="420"/>
            </w:pPr>
            <w:r>
              <w:rPr>
                <w:rFonts w:hint="eastAsia"/>
              </w:rPr>
              <w:t>根据患者的实际情况，在每项对应得分上打</w:t>
            </w:r>
            <w:r>
              <w:t>  </w:t>
            </w:r>
            <w:r>
              <w:rPr>
                <w:rFonts w:hint="eastAsia" w:hAnsi="宋体" w:cs="宋体"/>
              </w:rPr>
              <w:t>“</w:t>
            </w:r>
            <w:r>
              <w:rPr>
                <w:rFonts w:hint="eastAsia"/>
              </w:rPr>
              <w:t>√”。</w:t>
            </w:r>
          </w:p>
        </w:tc>
      </w:tr>
    </w:tbl>
    <w:p w14:paraId="602EF027">
      <w:pPr>
        <w:pStyle w:val="80"/>
        <w:spacing w:before="120" w:after="120"/>
      </w:pPr>
      <w:bookmarkStart w:id="115" w:name="_Toc211527052"/>
      <w:bookmarkStart w:id="116" w:name="_Toc211526394"/>
      <w:r>
        <w:rPr>
          <w:rFonts w:hint="eastAsia"/>
        </w:rPr>
        <w:t>Barthel指标评定细则</w:t>
      </w:r>
      <w:bookmarkEnd w:id="115"/>
      <w:bookmarkEnd w:id="116"/>
    </w:p>
    <w:p w14:paraId="03BFF651">
      <w:pPr>
        <w:pStyle w:val="81"/>
        <w:spacing w:before="120" w:after="120"/>
      </w:pPr>
      <w:r>
        <w:rPr>
          <w:rFonts w:hint="eastAsia"/>
        </w:rPr>
        <w:t>进食</w:t>
      </w:r>
    </w:p>
    <w:p w14:paraId="76593559">
      <w:pPr>
        <w:pStyle w:val="58"/>
        <w:ind w:firstLine="420"/>
      </w:pPr>
      <w:r>
        <w:rPr>
          <w:rFonts w:hint="eastAsia"/>
        </w:rPr>
        <w:t>用合适的餐具将食物由容器送到口中，包括筷子（勺子或叉子）取食物、对碗（碟）的把持、咀嚼吞咽等过程。</w:t>
      </w:r>
    </w:p>
    <w:p w14:paraId="576092D0">
      <w:pPr>
        <w:pStyle w:val="58"/>
        <w:ind w:firstLine="420"/>
      </w:pPr>
      <w:r>
        <w:rPr>
          <w:rFonts w:hint="eastAsia"/>
        </w:rPr>
        <w:t>——10 分：可独立进食；</w:t>
      </w:r>
    </w:p>
    <w:p w14:paraId="2EED1C97">
      <w:pPr>
        <w:pStyle w:val="58"/>
        <w:ind w:firstLine="420"/>
      </w:pPr>
      <w:r>
        <w:rPr>
          <w:rFonts w:hint="eastAsia"/>
        </w:rPr>
        <w:t>——5 分：需部分帮助；</w:t>
      </w:r>
    </w:p>
    <w:p w14:paraId="596E9D54">
      <w:pPr>
        <w:pStyle w:val="58"/>
        <w:ind w:firstLine="420"/>
      </w:pPr>
      <w:r>
        <w:rPr>
          <w:rFonts w:hint="eastAsia"/>
        </w:rPr>
        <w:t>——0 分：需极大帮助或完全依赖他人，或留置胃管。</w:t>
      </w:r>
    </w:p>
    <w:p w14:paraId="03967C81">
      <w:pPr>
        <w:pStyle w:val="81"/>
        <w:spacing w:before="120" w:after="120"/>
      </w:pPr>
      <w:r>
        <w:rPr>
          <w:rFonts w:hint="eastAsia"/>
        </w:rPr>
        <w:t>洗澡</w:t>
      </w:r>
    </w:p>
    <w:p w14:paraId="3F33244D">
      <w:pPr>
        <w:pStyle w:val="58"/>
        <w:ind w:firstLine="420"/>
      </w:pPr>
      <w:r>
        <w:rPr>
          <w:rFonts w:hint="eastAsia"/>
        </w:rPr>
        <w:t>包括进出浴室、穿脱衣裤、洗浴全身等。</w:t>
      </w:r>
    </w:p>
    <w:p w14:paraId="280463BC">
      <w:pPr>
        <w:pStyle w:val="58"/>
        <w:ind w:firstLine="420"/>
      </w:pPr>
      <w:r>
        <w:rPr>
          <w:rFonts w:hint="eastAsia"/>
        </w:rPr>
        <w:t>——5 分：准备好洗澡水后，可自己独立完成洗澡过程；</w:t>
      </w:r>
    </w:p>
    <w:p w14:paraId="4B72DAE5">
      <w:pPr>
        <w:pStyle w:val="58"/>
        <w:ind w:firstLine="420"/>
      </w:pPr>
      <w:r>
        <w:rPr>
          <w:rFonts w:hint="eastAsia"/>
        </w:rPr>
        <w:t>——0 分：在洗澡过程中需他人帮助。</w:t>
      </w:r>
    </w:p>
    <w:p w14:paraId="1044547E">
      <w:pPr>
        <w:pStyle w:val="81"/>
        <w:spacing w:before="120" w:after="120"/>
      </w:pPr>
      <w:r>
        <w:rPr>
          <w:rFonts w:hint="eastAsia"/>
        </w:rPr>
        <w:t>修饰</w:t>
      </w:r>
    </w:p>
    <w:p w14:paraId="286A1C53">
      <w:pPr>
        <w:pStyle w:val="58"/>
        <w:ind w:firstLine="420"/>
      </w:pPr>
      <w:r>
        <w:rPr>
          <w:rFonts w:hint="eastAsia"/>
        </w:rPr>
        <w:t>包括洗脸、刷牙、梳头、刮脸等。</w:t>
      </w:r>
    </w:p>
    <w:p w14:paraId="09CD58A0">
      <w:pPr>
        <w:pStyle w:val="58"/>
        <w:ind w:firstLine="420"/>
      </w:pPr>
      <w:r>
        <w:rPr>
          <w:rFonts w:hint="eastAsia"/>
        </w:rPr>
        <w:t>——5 分：可自己独立完成；</w:t>
      </w:r>
    </w:p>
    <w:p w14:paraId="25CD95A5">
      <w:pPr>
        <w:pStyle w:val="58"/>
        <w:ind w:firstLine="420"/>
      </w:pPr>
      <w:r>
        <w:rPr>
          <w:rFonts w:hint="eastAsia"/>
        </w:rPr>
        <w:t>——0 分：需他人帮助。</w:t>
      </w:r>
    </w:p>
    <w:p w14:paraId="5AF2922A">
      <w:pPr>
        <w:pStyle w:val="81"/>
        <w:spacing w:before="120" w:after="120"/>
      </w:pPr>
      <w:r>
        <w:rPr>
          <w:rFonts w:hint="eastAsia"/>
        </w:rPr>
        <w:t>穿（脱）衣</w:t>
      </w:r>
    </w:p>
    <w:p w14:paraId="26DE2A14">
      <w:pPr>
        <w:pStyle w:val="58"/>
        <w:ind w:firstLine="420"/>
      </w:pPr>
      <w:r>
        <w:rPr>
          <w:rFonts w:hint="eastAsia"/>
        </w:rPr>
        <w:t>包括穿(脱)衣服、系扣子、拉拉链、穿(脱)鞋袜、系鞋带等。</w:t>
      </w:r>
    </w:p>
    <w:p w14:paraId="34010C6B">
      <w:pPr>
        <w:pStyle w:val="58"/>
        <w:ind w:firstLine="420"/>
      </w:pPr>
      <w:r>
        <w:rPr>
          <w:rFonts w:hint="eastAsia"/>
        </w:rPr>
        <w:t>——10 分：可独立完成；</w:t>
      </w:r>
    </w:p>
    <w:p w14:paraId="274645D5">
      <w:pPr>
        <w:pStyle w:val="58"/>
        <w:ind w:firstLine="420"/>
      </w:pPr>
      <w:r>
        <w:rPr>
          <w:rFonts w:hint="eastAsia"/>
        </w:rPr>
        <w:t>——5 分：需部分帮助；</w:t>
      </w:r>
    </w:p>
    <w:p w14:paraId="4DF1B181">
      <w:pPr>
        <w:pStyle w:val="58"/>
        <w:ind w:firstLine="420"/>
      </w:pPr>
      <w:r>
        <w:rPr>
          <w:rFonts w:hint="eastAsia"/>
        </w:rPr>
        <w:t>——0 分：需极大帮助或完全依赖他人。</w:t>
      </w:r>
    </w:p>
    <w:p w14:paraId="4C337363">
      <w:pPr>
        <w:pStyle w:val="81"/>
        <w:spacing w:before="120" w:after="120"/>
      </w:pPr>
      <w:r>
        <w:rPr>
          <w:rFonts w:hint="eastAsia"/>
        </w:rPr>
        <w:t>大小便</w:t>
      </w:r>
    </w:p>
    <w:p w14:paraId="6CDE686A">
      <w:pPr>
        <w:pStyle w:val="58"/>
        <w:ind w:firstLine="420"/>
      </w:pPr>
      <w:r>
        <w:rPr>
          <w:rFonts w:hint="eastAsia"/>
        </w:rPr>
        <w:t>指受意识控制，可自主排便。</w:t>
      </w:r>
    </w:p>
    <w:p w14:paraId="2B58A757">
      <w:pPr>
        <w:pStyle w:val="58"/>
        <w:ind w:firstLine="420"/>
      </w:pPr>
      <w:r>
        <w:rPr>
          <w:rFonts w:hint="eastAsia"/>
        </w:rPr>
        <w:t>——10 分：可自控，并自主大便；</w:t>
      </w:r>
    </w:p>
    <w:p w14:paraId="03187FC3">
      <w:pPr>
        <w:pStyle w:val="58"/>
        <w:ind w:firstLine="420"/>
      </w:pPr>
      <w:r>
        <w:rPr>
          <w:rFonts w:hint="eastAsia"/>
        </w:rPr>
        <w:t>——5 分：偶尔失控，或需要他人协助；</w:t>
      </w:r>
    </w:p>
    <w:p w14:paraId="5DEA166F">
      <w:pPr>
        <w:pStyle w:val="58"/>
        <w:ind w:firstLine="420"/>
      </w:pPr>
      <w:r>
        <w:rPr>
          <w:rFonts w:hint="eastAsia"/>
        </w:rPr>
        <w:t>——0 分：完全失控，需他人协助。</w:t>
      </w:r>
    </w:p>
    <w:p w14:paraId="786B7BD0">
      <w:pPr>
        <w:pStyle w:val="81"/>
        <w:spacing w:before="120" w:after="120"/>
      </w:pPr>
      <w:r>
        <w:rPr>
          <w:rFonts w:hint="eastAsia"/>
        </w:rPr>
        <w:t>如厕</w:t>
      </w:r>
    </w:p>
    <w:p w14:paraId="4E79C316">
      <w:pPr>
        <w:pStyle w:val="58"/>
        <w:ind w:firstLine="420"/>
      </w:pPr>
      <w:r>
        <w:rPr>
          <w:rFonts w:hint="eastAsia"/>
        </w:rPr>
        <w:t>包括去厕所、解开衣裤、擦净、整理衣裤、冲水等过程。</w:t>
      </w:r>
    </w:p>
    <w:p w14:paraId="303E0BD1">
      <w:pPr>
        <w:pStyle w:val="58"/>
        <w:ind w:firstLine="420"/>
      </w:pPr>
      <w:r>
        <w:rPr>
          <w:rFonts w:hint="eastAsia"/>
        </w:rPr>
        <w:t>——10 分：可独立完成；</w:t>
      </w:r>
    </w:p>
    <w:p w14:paraId="57582F2F">
      <w:pPr>
        <w:pStyle w:val="58"/>
        <w:ind w:firstLine="420"/>
      </w:pPr>
      <w:r>
        <w:rPr>
          <w:rFonts w:hint="eastAsia"/>
        </w:rPr>
        <w:t>——5 分：需部分帮助；</w:t>
      </w:r>
    </w:p>
    <w:p w14:paraId="6D170B3E">
      <w:pPr>
        <w:pStyle w:val="58"/>
        <w:ind w:firstLine="420"/>
      </w:pPr>
      <w:r>
        <w:rPr>
          <w:rFonts w:hint="eastAsia"/>
        </w:rPr>
        <w:t>——0 分：需极大帮助或完全依赖他人。</w:t>
      </w:r>
    </w:p>
    <w:p w14:paraId="28173C51">
      <w:pPr>
        <w:pStyle w:val="81"/>
        <w:spacing w:before="120" w:after="120"/>
      </w:pPr>
      <w:r>
        <w:rPr>
          <w:rFonts w:hint="eastAsia"/>
        </w:rPr>
        <w:t>床上移动</w:t>
      </w:r>
    </w:p>
    <w:p w14:paraId="1E71AD65">
      <w:pPr>
        <w:pStyle w:val="58"/>
        <w:ind w:firstLine="420"/>
      </w:pPr>
      <w:r>
        <w:rPr>
          <w:rFonts w:hint="eastAsia"/>
        </w:rPr>
        <w:t>包括在床上翻身、起坐、侧身等所有动作。</w:t>
      </w:r>
    </w:p>
    <w:p w14:paraId="0A15B77D">
      <w:pPr>
        <w:pStyle w:val="58"/>
        <w:ind w:firstLine="420"/>
      </w:pPr>
      <w:r>
        <w:rPr>
          <w:rFonts w:hint="eastAsia"/>
        </w:rPr>
        <w:t>——15 分：可独立完成；</w:t>
      </w:r>
    </w:p>
    <w:p w14:paraId="7E2CE7EF">
      <w:pPr>
        <w:pStyle w:val="58"/>
        <w:ind w:firstLine="420"/>
      </w:pPr>
      <w:r>
        <w:rPr>
          <w:rFonts w:hint="eastAsia"/>
        </w:rPr>
        <w:t>——10 分：需部分帮助；</w:t>
      </w:r>
    </w:p>
    <w:p w14:paraId="1BCABE80">
      <w:pPr>
        <w:pStyle w:val="58"/>
        <w:ind w:firstLine="420"/>
      </w:pPr>
      <w:r>
        <w:rPr>
          <w:rFonts w:hint="eastAsia"/>
        </w:rPr>
        <w:t>——5 分：需极大帮助；</w:t>
      </w:r>
    </w:p>
    <w:p w14:paraId="4BFB05F2">
      <w:pPr>
        <w:pStyle w:val="58"/>
        <w:ind w:firstLine="420"/>
      </w:pPr>
      <w:r>
        <w:rPr>
          <w:rFonts w:hint="eastAsia"/>
        </w:rPr>
        <w:t>——0 分：完全依赖他人。</w:t>
      </w:r>
    </w:p>
    <w:p w14:paraId="781FFFC2">
      <w:pPr>
        <w:pStyle w:val="81"/>
        <w:spacing w:before="120" w:after="120"/>
      </w:pPr>
      <w:r>
        <w:rPr>
          <w:rFonts w:hint="eastAsia"/>
        </w:rPr>
        <w:t>床边移动</w:t>
      </w:r>
    </w:p>
    <w:p w14:paraId="7EA3B66D">
      <w:pPr>
        <w:pStyle w:val="58"/>
        <w:ind w:firstLine="420"/>
      </w:pPr>
      <w:r>
        <w:rPr>
          <w:rFonts w:hint="eastAsia"/>
        </w:rPr>
        <w:t>指从下床坐在床旁椅，以及从椅到上床转移或到病房内卫生间的所有动作。。</w:t>
      </w:r>
    </w:p>
    <w:p w14:paraId="699A64AA">
      <w:pPr>
        <w:pStyle w:val="58"/>
        <w:ind w:firstLine="420"/>
      </w:pPr>
      <w:r>
        <w:rPr>
          <w:rFonts w:hint="eastAsia"/>
        </w:rPr>
        <w:t>——15 分：可独立完成；</w:t>
      </w:r>
    </w:p>
    <w:p w14:paraId="6314AB57">
      <w:pPr>
        <w:pStyle w:val="58"/>
        <w:ind w:firstLine="420"/>
      </w:pPr>
      <w:r>
        <w:rPr>
          <w:rFonts w:hint="eastAsia"/>
        </w:rPr>
        <w:t>——10 分：需部分帮助；</w:t>
      </w:r>
    </w:p>
    <w:p w14:paraId="2AFE23CA">
      <w:pPr>
        <w:pStyle w:val="58"/>
        <w:ind w:firstLine="420"/>
      </w:pPr>
      <w:r>
        <w:rPr>
          <w:rFonts w:hint="eastAsia"/>
        </w:rPr>
        <w:t>——5 分：需极大帮助；</w:t>
      </w:r>
    </w:p>
    <w:p w14:paraId="72AFC788">
      <w:pPr>
        <w:pStyle w:val="58"/>
        <w:ind w:firstLine="420"/>
      </w:pPr>
      <w:r>
        <w:rPr>
          <w:rFonts w:hint="eastAsia"/>
        </w:rPr>
        <w:t>——0 分：完全依赖他人。</w:t>
      </w:r>
    </w:p>
    <w:p w14:paraId="5C86B3BA">
      <w:pPr>
        <w:pStyle w:val="81"/>
        <w:spacing w:before="120" w:after="120"/>
      </w:pPr>
      <w:r>
        <w:rPr>
          <w:rFonts w:hint="eastAsia"/>
        </w:rPr>
        <w:t>病区移动</w:t>
      </w:r>
    </w:p>
    <w:p w14:paraId="36A9C235">
      <w:pPr>
        <w:pStyle w:val="58"/>
        <w:ind w:firstLine="420"/>
      </w:pPr>
      <w:r>
        <w:rPr>
          <w:rFonts w:hint="eastAsia"/>
        </w:rPr>
        <w:t>指从下床在病房内或病区内转移，包括在病区走道行走不少于45米的所有动作。。</w:t>
      </w:r>
    </w:p>
    <w:p w14:paraId="298C4AB7">
      <w:pPr>
        <w:pStyle w:val="58"/>
        <w:ind w:firstLine="420"/>
      </w:pPr>
      <w:r>
        <w:rPr>
          <w:rFonts w:hint="eastAsia"/>
        </w:rPr>
        <w:t>——15 分：可独立完成；</w:t>
      </w:r>
    </w:p>
    <w:p w14:paraId="061B11B2">
      <w:pPr>
        <w:pStyle w:val="58"/>
        <w:ind w:firstLine="420"/>
      </w:pPr>
      <w:r>
        <w:rPr>
          <w:rFonts w:hint="eastAsia"/>
        </w:rPr>
        <w:t>——10 分：需部分帮助；</w:t>
      </w:r>
    </w:p>
    <w:p w14:paraId="57828A84">
      <w:pPr>
        <w:pStyle w:val="58"/>
        <w:ind w:firstLine="420"/>
      </w:pPr>
      <w:r>
        <w:rPr>
          <w:rFonts w:hint="eastAsia"/>
        </w:rPr>
        <w:t>——5 分：需极大帮助；</w:t>
      </w:r>
    </w:p>
    <w:p w14:paraId="4608D447">
      <w:pPr>
        <w:pStyle w:val="58"/>
        <w:ind w:firstLine="420"/>
      </w:pPr>
      <w:r>
        <w:rPr>
          <w:rFonts w:hint="eastAsia"/>
        </w:rPr>
        <w:t>——0 分：完全依赖他人。</w:t>
      </w:r>
    </w:p>
    <w:p w14:paraId="5BC477F7">
      <w:pPr>
        <w:pStyle w:val="81"/>
        <w:spacing w:before="120" w:after="120"/>
      </w:pPr>
      <w:r>
        <w:rPr>
          <w:rFonts w:hint="eastAsia"/>
        </w:rPr>
        <w:t>出病区移动</w:t>
      </w:r>
    </w:p>
    <w:p w14:paraId="1B3B2636">
      <w:pPr>
        <w:pStyle w:val="58"/>
        <w:ind w:firstLine="420"/>
      </w:pPr>
      <w:r>
        <w:rPr>
          <w:rFonts w:hint="eastAsia"/>
        </w:rPr>
        <w:t>指可离开病区，通过电梯等辅助上下楼层的所有动作。。</w:t>
      </w:r>
    </w:p>
    <w:p w14:paraId="4735932C">
      <w:pPr>
        <w:pStyle w:val="58"/>
        <w:ind w:firstLine="420"/>
      </w:pPr>
      <w:r>
        <w:rPr>
          <w:rFonts w:hint="eastAsia"/>
        </w:rPr>
        <w:t>——15 分：可独立完成；</w:t>
      </w:r>
    </w:p>
    <w:p w14:paraId="6D5BE99B">
      <w:pPr>
        <w:pStyle w:val="58"/>
        <w:ind w:firstLine="420"/>
      </w:pPr>
      <w:r>
        <w:rPr>
          <w:rFonts w:hint="eastAsia"/>
        </w:rPr>
        <w:t>——10 分：需部分帮助；</w:t>
      </w:r>
    </w:p>
    <w:p w14:paraId="7A1DCB5A">
      <w:pPr>
        <w:pStyle w:val="58"/>
        <w:ind w:firstLine="420"/>
      </w:pPr>
      <w:r>
        <w:rPr>
          <w:rFonts w:hint="eastAsia"/>
        </w:rPr>
        <w:t>——5 分：需极大帮助；</w:t>
      </w:r>
    </w:p>
    <w:p w14:paraId="640F3933">
      <w:pPr>
        <w:pStyle w:val="58"/>
        <w:ind w:firstLine="420"/>
      </w:pPr>
      <w:r>
        <w:rPr>
          <w:rFonts w:hint="eastAsia"/>
        </w:rPr>
        <w:t>——0 分：完全依赖他人。</w:t>
      </w:r>
    </w:p>
    <w:p w14:paraId="37123CF5">
      <w:pPr>
        <w:pStyle w:val="58"/>
        <w:ind w:firstLine="420"/>
      </w:pPr>
      <w:r>
        <w:rPr>
          <w:rFonts w:hint="eastAsia"/>
        </w:rPr>
        <w:t xml:space="preserve"> </w:t>
      </w:r>
    </w:p>
    <w:p w14:paraId="3A939CAA">
      <w:pPr>
        <w:pStyle w:val="58"/>
        <w:ind w:firstLine="420"/>
      </w:pPr>
    </w:p>
    <w:p w14:paraId="3CA66291">
      <w:pPr>
        <w:pStyle w:val="58"/>
        <w:ind w:firstLine="420"/>
      </w:pPr>
    </w:p>
    <w:p w14:paraId="1ECA3012">
      <w:pPr>
        <w:pStyle w:val="58"/>
        <w:ind w:firstLine="420"/>
      </w:pPr>
    </w:p>
    <w:p w14:paraId="70B6D132">
      <w:pPr>
        <w:pStyle w:val="58"/>
        <w:ind w:firstLine="420"/>
      </w:pPr>
    </w:p>
    <w:p w14:paraId="50CF56E6">
      <w:pPr>
        <w:pStyle w:val="58"/>
        <w:ind w:firstLine="420"/>
      </w:pPr>
    </w:p>
    <w:bookmarkEnd w:id="109"/>
    <w:p w14:paraId="7785219D">
      <w:pPr>
        <w:pStyle w:val="58"/>
        <w:ind w:firstLine="420"/>
        <w:sectPr>
          <w:pgSz w:w="11906" w:h="16838"/>
          <w:pgMar w:top="1928" w:right="1134" w:bottom="1134" w:left="1134" w:header="1418" w:footer="1134" w:gutter="284"/>
          <w:cols w:space="425" w:num="1"/>
          <w:formProt w:val="0"/>
          <w:docGrid w:linePitch="312" w:charSpace="0"/>
        </w:sectPr>
      </w:pPr>
      <w:bookmarkStart w:id="117" w:name="BookMark6"/>
    </w:p>
    <w:p w14:paraId="49388D36">
      <w:pPr>
        <w:pStyle w:val="65"/>
        <w:spacing w:after="120"/>
      </w:pPr>
      <w:bookmarkStart w:id="118" w:name="_Toc211527053"/>
      <w:r>
        <w:rPr>
          <w:rFonts w:hint="eastAsia"/>
          <w:spacing w:val="105"/>
        </w:rPr>
        <w:t>参考文</w:t>
      </w:r>
      <w:r>
        <w:rPr>
          <w:rFonts w:hint="eastAsia"/>
        </w:rPr>
        <w:t>献</w:t>
      </w:r>
      <w:bookmarkEnd w:id="118"/>
    </w:p>
    <w:p w14:paraId="32A6C4C0">
      <w:pPr>
        <w:pStyle w:val="58"/>
        <w:ind w:firstLine="420"/>
      </w:pPr>
      <w:r>
        <w:t>[1]</w:t>
      </w:r>
      <w:r>
        <w:rPr>
          <w:sz w:val="24"/>
          <w:szCs w:val="24"/>
        </w:rPr>
        <w:t xml:space="preserve"> </w:t>
      </w:r>
      <w:r>
        <w:t xml:space="preserve">GB/T 28917-2012 医院陪护服务基本要求 </w:t>
      </w:r>
    </w:p>
    <w:p w14:paraId="42D6C534">
      <w:pPr>
        <w:pStyle w:val="58"/>
        <w:ind w:firstLine="420"/>
      </w:pPr>
      <w:r>
        <w:rPr>
          <w:rFonts w:hint="eastAsia"/>
        </w:rPr>
        <w:t>[2] 国家职业标准 医疗护理员 （2024年版）</w:t>
      </w:r>
    </w:p>
    <w:p w14:paraId="4458325C">
      <w:pPr>
        <w:pStyle w:val="58"/>
        <w:ind w:firstLine="420"/>
      </w:pPr>
      <w:r>
        <w:rPr>
          <w:rFonts w:hint="eastAsia"/>
        </w:rPr>
        <w:t>[3] 国卫医发〔2019〕49 号《关于加强医疗护理员培训和规范管理工作的通知》</w:t>
      </w:r>
    </w:p>
    <w:p w14:paraId="0690BE6E">
      <w:pPr>
        <w:pStyle w:val="58"/>
        <w:ind w:firstLine="420"/>
      </w:pPr>
      <w:r>
        <w:rPr>
          <w:rFonts w:hint="eastAsia"/>
        </w:rPr>
        <w:t>[4] DB3502/T 139-2024 “无陪护”医院服务规范 通用要求</w:t>
      </w:r>
    </w:p>
    <w:p w14:paraId="79E62E9D">
      <w:pPr>
        <w:pStyle w:val="58"/>
        <w:ind w:firstLine="420"/>
      </w:pPr>
      <w:r>
        <w:rPr>
          <w:rFonts w:hint="eastAsia"/>
        </w:rPr>
        <w:t>[5] DB34/T 4511-2023 医院陪护服务规范</w:t>
      </w:r>
    </w:p>
    <w:p w14:paraId="0E974722">
      <w:pPr>
        <w:pStyle w:val="58"/>
        <w:ind w:firstLine="420"/>
      </w:pPr>
      <w:r>
        <w:t>[</w:t>
      </w:r>
      <w:r>
        <w:rPr>
          <w:rFonts w:hint="eastAsia"/>
        </w:rPr>
        <w:t>6</w:t>
      </w:r>
      <w:r>
        <w:t>]</w:t>
      </w:r>
      <w:r>
        <w:rPr>
          <w:sz w:val="24"/>
          <w:szCs w:val="24"/>
        </w:rPr>
        <w:t xml:space="preserve"> </w:t>
      </w:r>
      <w:r>
        <w:t>T/CPMI 018-2024</w:t>
      </w:r>
      <w:bookmarkStart w:id="119" w:name="OLE_LINK4"/>
      <w:r>
        <w:t xml:space="preserve"> 医院物业服务规范</w:t>
      </w:r>
      <w:bookmarkEnd w:id="119"/>
    </w:p>
    <w:p w14:paraId="7CAC63DE">
      <w:pPr>
        <w:pStyle w:val="58"/>
        <w:ind w:firstLine="420"/>
      </w:pPr>
    </w:p>
    <w:p w14:paraId="44587724">
      <w:pPr>
        <w:pStyle w:val="58"/>
        <w:ind w:firstLine="420"/>
      </w:pPr>
    </w:p>
    <w:p w14:paraId="10D8BF90">
      <w:pPr>
        <w:pStyle w:val="58"/>
        <w:ind w:firstLine="420"/>
      </w:pPr>
    </w:p>
    <w:p w14:paraId="230A5EB7">
      <w:pPr>
        <w:pStyle w:val="58"/>
        <w:ind w:firstLine="420"/>
      </w:pPr>
    </w:p>
    <w:bookmarkEnd w:id="117"/>
    <w:p w14:paraId="13A20EBB">
      <w:pPr>
        <w:pStyle w:val="58"/>
        <w:ind w:firstLine="0" w:firstLineChars="0"/>
        <w:jc w:val="center"/>
      </w:pPr>
      <w:bookmarkStart w:id="120" w:name="BookMark8"/>
      <w:r>
        <w:drawing>
          <wp:inline distT="0" distB="0" distL="0" distR="0">
            <wp:extent cx="1485900" cy="317500"/>
            <wp:effectExtent l="0" t="0" r="0" b="6350"/>
            <wp:docPr id="78153351" name="图片 1"/>
            <wp:cNvGraphicFramePr/>
            <a:graphic xmlns:a="http://schemas.openxmlformats.org/drawingml/2006/main">
              <a:graphicData uri="http://schemas.openxmlformats.org/drawingml/2006/picture">
                <pic:pic xmlns:pic="http://schemas.openxmlformats.org/drawingml/2006/picture">
                  <pic:nvPicPr>
                    <pic:cNvPr id="7815335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DF7C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592A">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FE41">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BDEA">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D99B">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1E01">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0F30">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5B2E7">
    <w:pPr>
      <w:pStyle w:val="63"/>
      <w:rPr>
        <w:rFonts w:hint="eastAsia"/>
      </w:rPr>
    </w:pPr>
    <w:r>
      <w:fldChar w:fldCharType="begin"/>
    </w:r>
    <w:r>
      <w:instrText xml:space="preserve"> STYLEREF  标准文件_文件编号  \* MERGEFORMAT </w:instrText>
    </w:r>
    <w:r>
      <w:fldChar w:fldCharType="separate"/>
    </w:r>
    <w:r>
      <w:t>T/CPMI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E471">
    <w:pPr>
      <w:pStyle w:val="19"/>
      <w:jc w:val="right"/>
    </w:pPr>
    <w:r>
      <w:fldChar w:fldCharType="begin"/>
    </w:r>
    <w:r>
      <w:instrText xml:space="preserve"> STYLEREF  标准文件_文件编号  \* MERGEFORMAT </w:instrText>
    </w:r>
    <w:r>
      <w:fldChar w:fldCharType="separate"/>
    </w:r>
    <w:r>
      <w:t>T/CPMI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81411C4"/>
    <w:multiLevelType w:val="multilevel"/>
    <w:tmpl w:val="381411C4"/>
    <w:lvl w:ilvl="0" w:tentative="0">
      <w:start w:val="1"/>
      <w:numFmt w:val="none"/>
      <w:lvlText w:val="%1注："/>
      <w:lvlJc w:val="left"/>
      <w:pPr>
        <w:ind w:left="737" w:hanging="374"/>
      </w:pPr>
      <w:rPr>
        <w:rFonts w:hint="eastAsia" w:ascii="黑体" w:hAnsi="黑体" w:eastAsia="黑体"/>
        <w:b w:val="0"/>
        <w:i w:val="0"/>
        <w:sz w:val="18"/>
        <w:szCs w:val="18"/>
      </w:rPr>
    </w:lvl>
    <w:lvl w:ilvl="1" w:tentative="0">
      <w:start w:val="1"/>
      <w:numFmt w:val="lowerLetter"/>
      <w:lvlText w:val="%2)"/>
      <w:lvlJc w:val="left"/>
      <w:pPr>
        <w:tabs>
          <w:tab w:val="left" w:pos="1140"/>
        </w:tabs>
        <w:ind w:left="726" w:hanging="363"/>
      </w:pPr>
      <w:rPr>
        <w:rFonts w:hint="eastAsia" w:ascii="宋体" w:hAnsi="宋体" w:eastAsia="宋体"/>
      </w:rPr>
    </w:lvl>
    <w:lvl w:ilvl="2" w:tentative="0">
      <w:start w:val="1"/>
      <w:numFmt w:val="lowerRoman"/>
      <w:lvlText w:val="%3."/>
      <w:lvlJc w:val="right"/>
      <w:pPr>
        <w:tabs>
          <w:tab w:val="left" w:pos="1140"/>
        </w:tabs>
        <w:ind w:left="726" w:hanging="363"/>
      </w:pPr>
      <w:rPr>
        <w:rFonts w:hint="eastAsia" w:ascii="宋体" w:hAnsi="宋体" w:eastAsia="宋体"/>
      </w:rPr>
    </w:lvl>
    <w:lvl w:ilvl="3" w:tentative="0">
      <w:start w:val="1"/>
      <w:numFmt w:val="decimal"/>
      <w:lvlText w:val="%4."/>
      <w:lvlJc w:val="left"/>
      <w:pPr>
        <w:tabs>
          <w:tab w:val="left" w:pos="1140"/>
        </w:tabs>
        <w:ind w:left="726" w:hanging="363"/>
      </w:pPr>
      <w:rPr>
        <w:rFonts w:hint="eastAsia" w:ascii="宋体" w:hAnsi="宋体" w:eastAsia="宋体"/>
      </w:rPr>
    </w:lvl>
    <w:lvl w:ilvl="4" w:tentative="0">
      <w:start w:val="1"/>
      <w:numFmt w:val="lowerLetter"/>
      <w:lvlText w:val="%5)"/>
      <w:lvlJc w:val="left"/>
      <w:pPr>
        <w:tabs>
          <w:tab w:val="left" w:pos="1140"/>
        </w:tabs>
        <w:ind w:left="726" w:hanging="363"/>
      </w:pPr>
      <w:rPr>
        <w:rFonts w:hint="eastAsia" w:ascii="宋体" w:hAnsi="宋体" w:eastAsia="宋体"/>
      </w:rPr>
    </w:lvl>
    <w:lvl w:ilvl="5" w:tentative="0">
      <w:start w:val="1"/>
      <w:numFmt w:val="lowerRoman"/>
      <w:lvlText w:val="%6."/>
      <w:lvlJc w:val="right"/>
      <w:pPr>
        <w:tabs>
          <w:tab w:val="left" w:pos="1140"/>
        </w:tabs>
        <w:ind w:left="726" w:hanging="363"/>
      </w:pPr>
      <w:rPr>
        <w:rFonts w:hint="eastAsia" w:ascii="宋体" w:hAnsi="宋体" w:eastAsia="宋体"/>
      </w:rPr>
    </w:lvl>
    <w:lvl w:ilvl="6" w:tentative="0">
      <w:start w:val="1"/>
      <w:numFmt w:val="decimal"/>
      <w:lvlText w:val="%7."/>
      <w:lvlJc w:val="left"/>
      <w:pPr>
        <w:tabs>
          <w:tab w:val="left" w:pos="1140"/>
        </w:tabs>
        <w:ind w:left="726" w:hanging="363"/>
      </w:pPr>
      <w:rPr>
        <w:rFonts w:hint="eastAsia" w:ascii="宋体" w:hAnsi="宋体" w:eastAsia="宋体"/>
      </w:rPr>
    </w:lvl>
    <w:lvl w:ilvl="7" w:tentative="0">
      <w:start w:val="1"/>
      <w:numFmt w:val="lowerLetter"/>
      <w:lvlText w:val="%8)"/>
      <w:lvlJc w:val="left"/>
      <w:pPr>
        <w:tabs>
          <w:tab w:val="left" w:pos="1140"/>
        </w:tabs>
        <w:ind w:left="726" w:hanging="363"/>
      </w:pPr>
      <w:rPr>
        <w:rFonts w:hint="eastAsia" w:ascii="宋体" w:hAnsi="宋体" w:eastAsia="宋体"/>
      </w:rPr>
    </w:lvl>
    <w:lvl w:ilvl="8" w:tentative="0">
      <w:start w:val="1"/>
      <w:numFmt w:val="lowerRoman"/>
      <w:lvlText w:val="%9."/>
      <w:lvlJc w:val="right"/>
      <w:pPr>
        <w:tabs>
          <w:tab w:val="left" w:pos="1140"/>
        </w:tabs>
        <w:ind w:left="726" w:hanging="363"/>
      </w:pPr>
      <w:rPr>
        <w:rFonts w:hint="eastAsia" w:ascii="宋体" w:hAnsi="宋体" w:eastAsia="宋体"/>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4"/>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34F"/>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238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B7641"/>
    <w:rsid w:val="006C1BBA"/>
    <w:rsid w:val="006C2079"/>
    <w:rsid w:val="006C5A62"/>
    <w:rsid w:val="006C5D68"/>
    <w:rsid w:val="006C6976"/>
    <w:rsid w:val="006C6DD0"/>
    <w:rsid w:val="006D04EA"/>
    <w:rsid w:val="006D16C4"/>
    <w:rsid w:val="006D3E96"/>
    <w:rsid w:val="006D4515"/>
    <w:rsid w:val="006D4BB1"/>
    <w:rsid w:val="006D60FD"/>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AF2"/>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374"/>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8E2"/>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BB6"/>
    <w:rsid w:val="00C05EC3"/>
    <w:rsid w:val="00C074F1"/>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1F0213"/>
    <w:rsid w:val="2BAD15EC"/>
    <w:rsid w:val="2CEF17CB"/>
    <w:rsid w:val="33795866"/>
    <w:rsid w:val="38071E67"/>
    <w:rsid w:val="3A677570"/>
    <w:rsid w:val="3C5738CA"/>
    <w:rsid w:val="42344C26"/>
    <w:rsid w:val="56896C4B"/>
    <w:rsid w:val="5FAE57F9"/>
    <w:rsid w:val="636456BA"/>
    <w:rsid w:val="63AB452A"/>
    <w:rsid w:val="6B8A321B"/>
    <w:rsid w:val="6D713370"/>
    <w:rsid w:val="74A25132"/>
    <w:rsid w:val="7B073F40"/>
    <w:rsid w:val="7BED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annotation reference"/>
    <w:basedOn w:val="29"/>
    <w:semiHidden/>
    <w:unhideWhenUsed/>
    <w:qFormat/>
    <w:uiPriority w:val="99"/>
    <w:rPr>
      <w:sz w:val="21"/>
      <w:szCs w:val="21"/>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Times New Roman"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29"/>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style>
  <w:style w:type="paragraph" w:customStyle="1" w:styleId="191">
    <w:name w:val="标准文件_一级项2"/>
    <w:basedOn w:val="58"/>
    <w:qFormat/>
    <w:uiPriority w:val="0"/>
    <w:pPr>
      <w:numPr>
        <w:ilvl w:val="0"/>
        <w:numId w:val="31"/>
      </w:numPr>
      <w:spacing w:line="300" w:lineRule="exact"/>
      <w:ind w:firstLineChars="0"/>
    </w:p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29"/>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29"/>
    <w:qFormat/>
    <w:uiPriority w:val="0"/>
    <w:rPr>
      <w:rFonts w:ascii="黑体" w:eastAsia="黑体"/>
      <w:spacing w:val="85"/>
      <w:w w:val="100"/>
      <w:position w:val="3"/>
      <w:sz w:val="28"/>
      <w:szCs w:val="28"/>
    </w:rPr>
  </w:style>
  <w:style w:type="character" w:customStyle="1" w:styleId="232">
    <w:name w:val="段 Char"/>
    <w:basedOn w:val="29"/>
    <w:link w:val="233"/>
    <w:qFormat/>
    <w:locked/>
    <w:uiPriority w:val="0"/>
    <w:rPr>
      <w:rFonts w:ascii="宋体" w:hAnsi="宋体"/>
      <w:sz w:val="21"/>
    </w:rPr>
  </w:style>
  <w:style w:type="paragraph" w:customStyle="1" w:styleId="233">
    <w:name w:val="段"/>
    <w:link w:val="232"/>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43E78E40584ADF8D2426E01B1FECC8"/>
        <w:style w:val=""/>
        <w:category>
          <w:name w:val="常规"/>
          <w:gallery w:val="placeholder"/>
        </w:category>
        <w:types>
          <w:type w:val="bbPlcHdr"/>
        </w:types>
        <w:behaviors>
          <w:behavior w:val="content"/>
        </w:behaviors>
        <w:description w:val=""/>
        <w:guid w:val="{29E8A1A1-AC11-4FB3-94EC-C2BDCF8123B4}"/>
      </w:docPartPr>
      <w:docPartBody>
        <w:p w14:paraId="0FC5BDA4">
          <w:pPr>
            <w:pStyle w:val="5"/>
            <w:rPr>
              <w:rFonts w:hint="eastAsia"/>
            </w:rPr>
          </w:pPr>
          <w:r>
            <w:rPr>
              <w:rStyle w:val="4"/>
              <w:rFonts w:hint="eastAsia"/>
            </w:rPr>
            <w:t>单击或点击此处输入文字。</w:t>
          </w:r>
        </w:p>
      </w:docPartBody>
    </w:docPart>
    <w:docPart>
      <w:docPartPr>
        <w:name w:val="2264BD228833406EB6C41EB1C1857950"/>
        <w:style w:val=""/>
        <w:category>
          <w:name w:val="常规"/>
          <w:gallery w:val="placeholder"/>
        </w:category>
        <w:types>
          <w:type w:val="bbPlcHdr"/>
        </w:types>
        <w:behaviors>
          <w:behavior w:val="content"/>
        </w:behaviors>
        <w:description w:val=""/>
        <w:guid w:val="{CC49BC56-B823-4C39-A529-B8767F23010F}"/>
      </w:docPartPr>
      <w:docPartBody>
        <w:p w14:paraId="5F33BB53">
          <w:pPr>
            <w:pStyle w:val="6"/>
            <w:rPr>
              <w:rFonts w:hint="eastAsia"/>
            </w:rPr>
          </w:pPr>
          <w:r>
            <w:rPr>
              <w:rStyle w:val="4"/>
              <w:rFonts w:hint="eastAsia"/>
            </w:rPr>
            <w:t>选择一项。</w:t>
          </w:r>
        </w:p>
      </w:docPartBody>
    </w:docPart>
    <w:docPart>
      <w:docPartPr>
        <w:name w:val="6BEEA0CBE77348AB8BC4C63247D3D58E"/>
        <w:style w:val=""/>
        <w:category>
          <w:name w:val="常规"/>
          <w:gallery w:val="placeholder"/>
        </w:category>
        <w:types>
          <w:type w:val="bbPlcHdr"/>
        </w:types>
        <w:behaviors>
          <w:behavior w:val="content"/>
        </w:behaviors>
        <w:description w:val=""/>
        <w:guid w:val="{DCA62091-BBF6-4583-8E62-74EA29DB4E84}"/>
      </w:docPartPr>
      <w:docPartBody>
        <w:p w14:paraId="063C603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95"/>
    <w:rsid w:val="00047D66"/>
    <w:rsid w:val="00150107"/>
    <w:rsid w:val="004F6D95"/>
    <w:rsid w:val="006D60FD"/>
    <w:rsid w:val="00842811"/>
    <w:rsid w:val="00B658E2"/>
    <w:rsid w:val="00C05BB6"/>
    <w:rsid w:val="00CD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943E78E40584ADF8D2426E01B1FECC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264BD228833406EB6C41EB1C185795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6BEEA0CBE77348AB8BC4C63247D3D58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14</Pages>
  <Words>5701</Words>
  <Characters>6012</Characters>
  <Lines>447</Lines>
  <Paragraphs>558</Paragraphs>
  <TotalTime>0</TotalTime>
  <ScaleCrop>false</ScaleCrop>
  <LinksUpToDate>false</LinksUpToDate>
  <CharactersWithSpaces>6159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2025-10-16T09:00:00Z</dcterms:created>
  <dc:creator>闵芳</dc:creator>
  <cp:lastModifiedBy>jia ♚</cp:lastModifiedBy>
  <cp:lastPrinted>2021-02-02T08:22:00Z</cp:lastPrinted>
  <dcterms:modified xsi:type="dcterms:W3CDTF">2025-10-22T10:18:12Z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2052-12.1.0.23125</vt:lpwstr>
  </property>
  <property fmtid="{D5CDD505-2E9C-101B-9397-08002B2CF9AE}" pid="16" name="ICV">
    <vt:lpwstr>5E4D56257E004BDF807984EC194D72D6_12</vt:lpwstr>
  </property>
</Properties>
</file>